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25C06" w14:textId="7D9A5F9F" w:rsidR="00A80E93" w:rsidRPr="003241A2" w:rsidRDefault="00070CCA" w:rsidP="00983B70">
      <w:pPr>
        <w:pStyle w:val="Ttulo3"/>
        <w:rPr>
          <w:rFonts w:eastAsia="Times New Roman"/>
          <w:lang w:val="es-MX" w:eastAsia="es-ES"/>
        </w:rPr>
      </w:pPr>
      <w:bookmarkStart w:id="0" w:name="_Toc115441218"/>
      <w:r w:rsidRPr="003241A2">
        <w:rPr>
          <w:rFonts w:cstheme="minorHAnsi"/>
          <w:noProof/>
          <w:lang w:eastAsia="es-CL"/>
        </w:rPr>
        <w:drawing>
          <wp:anchor distT="0" distB="0" distL="114300" distR="114300" simplePos="0" relativeHeight="251658240" behindDoc="1" locked="0" layoutInCell="1" allowOverlap="1" wp14:anchorId="2FB48220" wp14:editId="652C97FE">
            <wp:simplePos x="0" y="0"/>
            <wp:positionH relativeFrom="page">
              <wp:align>right</wp:align>
            </wp:positionH>
            <wp:positionV relativeFrom="paragraph">
              <wp:posOffset>-1114425</wp:posOffset>
            </wp:positionV>
            <wp:extent cx="7770215" cy="10055573"/>
            <wp:effectExtent l="0" t="0" r="254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 PARA WORD.pdf"/>
                    <pic:cNvPicPr/>
                  </pic:nvPicPr>
                  <pic:blipFill>
                    <a:blip r:embed="rId8">
                      <a:extLst>
                        <a:ext uri="{28A0092B-C50C-407E-A947-70E740481C1C}">
                          <a14:useLocalDpi xmlns:a14="http://schemas.microsoft.com/office/drawing/2010/main" val="0"/>
                        </a:ext>
                      </a:extLst>
                    </a:blip>
                    <a:stretch>
                      <a:fillRect/>
                    </a:stretch>
                  </pic:blipFill>
                  <pic:spPr>
                    <a:xfrm>
                      <a:off x="0" y="0"/>
                      <a:ext cx="7770215" cy="10055573"/>
                    </a:xfrm>
                    <a:prstGeom prst="rect">
                      <a:avLst/>
                    </a:prstGeom>
                  </pic:spPr>
                </pic:pic>
              </a:graphicData>
            </a:graphic>
            <wp14:sizeRelH relativeFrom="page">
              <wp14:pctWidth>0</wp14:pctWidth>
            </wp14:sizeRelH>
            <wp14:sizeRelV relativeFrom="page">
              <wp14:pctHeight>0</wp14:pctHeight>
            </wp14:sizeRelV>
          </wp:anchor>
        </w:drawing>
      </w:r>
      <w:bookmarkEnd w:id="0"/>
      <w:r w:rsidR="00230C46" w:rsidRPr="003241A2">
        <w:rPr>
          <w:rFonts w:eastAsia="Times New Roman"/>
          <w:lang w:val="es-MX" w:eastAsia="es-ES"/>
        </w:rPr>
        <w:br w:type="textWrapping" w:clear="all"/>
      </w:r>
    </w:p>
    <w:p w14:paraId="0F01055C" w14:textId="26535DDC" w:rsidR="00580252" w:rsidRPr="003241A2" w:rsidRDefault="00580252" w:rsidP="00761BAB">
      <w:pPr>
        <w:spacing w:after="0" w:line="360" w:lineRule="auto"/>
        <w:jc w:val="both"/>
        <w:rPr>
          <w:rFonts w:ascii="gobCL" w:eastAsia="Times New Roman" w:hAnsi="gobCL"/>
          <w:b/>
          <w:sz w:val="24"/>
          <w:szCs w:val="24"/>
          <w:lang w:val="es-MX" w:eastAsia="es-ES"/>
        </w:rPr>
      </w:pPr>
    </w:p>
    <w:p w14:paraId="35375039" w14:textId="3BE122EC" w:rsidR="00580252" w:rsidRPr="003241A2" w:rsidRDefault="00580252" w:rsidP="00761BAB">
      <w:pPr>
        <w:spacing w:after="0" w:line="360" w:lineRule="auto"/>
        <w:jc w:val="both"/>
        <w:rPr>
          <w:rFonts w:ascii="gobCL" w:eastAsia="Times New Roman" w:hAnsi="gobCL"/>
          <w:b/>
          <w:sz w:val="24"/>
          <w:szCs w:val="24"/>
          <w:lang w:val="es-MX" w:eastAsia="es-ES"/>
        </w:rPr>
      </w:pPr>
    </w:p>
    <w:p w14:paraId="260D5E38" w14:textId="6DB9A3A8" w:rsidR="00170922" w:rsidRPr="003241A2" w:rsidRDefault="00170922" w:rsidP="00761BAB">
      <w:pPr>
        <w:spacing w:after="0" w:line="360" w:lineRule="auto"/>
        <w:jc w:val="center"/>
        <w:rPr>
          <w:rFonts w:ascii="gobCL" w:eastAsia="Times New Roman" w:hAnsi="gobCL"/>
          <w:b/>
          <w:sz w:val="24"/>
          <w:szCs w:val="24"/>
          <w:lang w:val="es-ES_tradnl" w:eastAsia="es-ES"/>
        </w:rPr>
      </w:pPr>
    </w:p>
    <w:p w14:paraId="785B4648" w14:textId="581235C9" w:rsidR="00B211EC" w:rsidRPr="003241A2" w:rsidRDefault="00B211EC" w:rsidP="00761BAB">
      <w:pPr>
        <w:spacing w:after="0" w:line="360" w:lineRule="auto"/>
        <w:rPr>
          <w:rFonts w:ascii="gobCL" w:eastAsia="Times New Roman" w:hAnsi="gobCL"/>
          <w:b/>
          <w:sz w:val="24"/>
          <w:szCs w:val="24"/>
          <w:lang w:val="es-ES_tradnl" w:eastAsia="es-ES"/>
        </w:rPr>
      </w:pPr>
    </w:p>
    <w:p w14:paraId="102BD879" w14:textId="2F662064" w:rsidR="0004080F" w:rsidRPr="003241A2" w:rsidRDefault="0004080F" w:rsidP="00761BAB">
      <w:pPr>
        <w:spacing w:after="0" w:line="360" w:lineRule="auto"/>
        <w:rPr>
          <w:rFonts w:ascii="gobCL" w:hAnsi="gobCL"/>
          <w:b/>
          <w:sz w:val="24"/>
          <w:szCs w:val="24"/>
          <w:u w:val="single"/>
        </w:rPr>
      </w:pPr>
    </w:p>
    <w:p w14:paraId="340F2B9D" w14:textId="449FB1A2" w:rsidR="00B4034F" w:rsidRPr="003241A2" w:rsidRDefault="00B4034F" w:rsidP="00761BAB">
      <w:pPr>
        <w:spacing w:after="0" w:line="360" w:lineRule="auto"/>
        <w:jc w:val="both"/>
        <w:rPr>
          <w:rFonts w:ascii="gobCL" w:eastAsia="Times New Roman" w:hAnsi="gobCL" w:cs="Calibri"/>
          <w:lang w:eastAsia="es-CL"/>
        </w:rPr>
      </w:pPr>
    </w:p>
    <w:p w14:paraId="4037C3EB" w14:textId="232159B2" w:rsidR="00070CCA" w:rsidRPr="009C779C" w:rsidRDefault="00070CCA" w:rsidP="00761BAB">
      <w:pPr>
        <w:spacing w:after="0" w:line="360" w:lineRule="auto"/>
        <w:rPr>
          <w:rFonts w:ascii="gobCL" w:eastAsia="Times New Roman" w:hAnsi="gobCL" w:cs="Calibri"/>
          <w:b/>
          <w:bCs/>
          <w:lang w:eastAsia="es-CL"/>
        </w:rPr>
      </w:pPr>
      <w:r w:rsidRPr="003241A2">
        <w:rPr>
          <w:rFonts w:ascii="gobCL" w:hAnsi="gobCL" w:cstheme="minorHAnsi"/>
          <w:noProof/>
          <w:sz w:val="20"/>
          <w:szCs w:val="20"/>
          <w:lang w:eastAsia="es-CL"/>
        </w:rPr>
        <mc:AlternateContent>
          <mc:Choice Requires="wps">
            <w:drawing>
              <wp:anchor distT="0" distB="0" distL="114300" distR="114300" simplePos="0" relativeHeight="251664384" behindDoc="0" locked="0" layoutInCell="1" allowOverlap="1" wp14:anchorId="37B7FC9D" wp14:editId="417C69A4">
                <wp:simplePos x="0" y="0"/>
                <wp:positionH relativeFrom="margin">
                  <wp:align>center</wp:align>
                </wp:positionH>
                <wp:positionV relativeFrom="paragraph">
                  <wp:posOffset>1177290</wp:posOffset>
                </wp:positionV>
                <wp:extent cx="7244080" cy="2804160"/>
                <wp:effectExtent l="0" t="0" r="0" b="0"/>
                <wp:wrapThrough wrapText="bothSides">
                  <wp:wrapPolygon edited="0">
                    <wp:start x="0" y="0"/>
                    <wp:lineTo x="0" y="21424"/>
                    <wp:lineTo x="21528" y="21424"/>
                    <wp:lineTo x="21528" y="0"/>
                    <wp:lineTo x="0" y="0"/>
                  </wp:wrapPolygon>
                </wp:wrapThrough>
                <wp:docPr id="2" name="Rectángulo 2"/>
                <wp:cNvGraphicFramePr/>
                <a:graphic xmlns:a="http://schemas.openxmlformats.org/drawingml/2006/main">
                  <a:graphicData uri="http://schemas.microsoft.com/office/word/2010/wordprocessingShape">
                    <wps:wsp>
                      <wps:cNvSpPr/>
                      <wps:spPr>
                        <a:xfrm>
                          <a:off x="0" y="0"/>
                          <a:ext cx="7244080" cy="280416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870EC24" w14:textId="1FF20757" w:rsidR="00775B97" w:rsidRPr="009C779C" w:rsidRDefault="00775B97" w:rsidP="00761BAB">
                            <w:pPr>
                              <w:autoSpaceDE w:val="0"/>
                              <w:autoSpaceDN w:val="0"/>
                              <w:adjustRightInd w:val="0"/>
                              <w:spacing w:after="0" w:line="360" w:lineRule="auto"/>
                              <w:jc w:val="center"/>
                              <w:rPr>
                                <w:rFonts w:ascii="gobCL" w:hAnsi="gobCL" w:cstheme="minorHAnsi"/>
                                <w:b/>
                                <w:bCs/>
                                <w:i/>
                                <w:iCs/>
                                <w:color w:val="0070C0"/>
                                <w:sz w:val="40"/>
                                <w:szCs w:val="40"/>
                                <w:lang w:eastAsia="es-CL"/>
                              </w:rPr>
                            </w:pPr>
                            <w:r w:rsidRPr="009C779C">
                              <w:rPr>
                                <w:rFonts w:ascii="gobCL" w:hAnsi="gobCL" w:cstheme="minorHAnsi"/>
                                <w:b/>
                                <w:bCs/>
                                <w:color w:val="0070C0"/>
                                <w:sz w:val="40"/>
                                <w:szCs w:val="40"/>
                                <w:lang w:eastAsia="es-CL"/>
                              </w:rPr>
                              <w:t>INFORME EJECUTIVO</w:t>
                            </w:r>
                          </w:p>
                          <w:p w14:paraId="5F2003C2" w14:textId="2AB7D374" w:rsidR="00775B97" w:rsidRPr="009C779C" w:rsidRDefault="00775B97" w:rsidP="00761BAB">
                            <w:pPr>
                              <w:autoSpaceDE w:val="0"/>
                              <w:autoSpaceDN w:val="0"/>
                              <w:adjustRightInd w:val="0"/>
                              <w:spacing w:after="0" w:line="360" w:lineRule="auto"/>
                              <w:jc w:val="center"/>
                              <w:rPr>
                                <w:rFonts w:ascii="gobCL" w:hAnsi="gobCL" w:cstheme="minorHAnsi"/>
                                <w:color w:val="0070C0"/>
                                <w:sz w:val="36"/>
                                <w:szCs w:val="36"/>
                                <w:lang w:eastAsia="es-CL"/>
                              </w:rPr>
                            </w:pPr>
                            <w:r w:rsidRPr="009C779C">
                              <w:rPr>
                                <w:rFonts w:ascii="gobCL" w:hAnsi="gobCL" w:cstheme="minorHAnsi"/>
                                <w:color w:val="0070C0"/>
                                <w:sz w:val="36"/>
                                <w:szCs w:val="36"/>
                                <w:lang w:eastAsia="es-CL"/>
                              </w:rPr>
                              <w:t>VIRUELA DEL MONO</w:t>
                            </w:r>
                          </w:p>
                          <w:p w14:paraId="6A3D0BC8" w14:textId="1494929D" w:rsidR="00775B97" w:rsidRPr="009C779C" w:rsidRDefault="00775B97" w:rsidP="00761BAB">
                            <w:pPr>
                              <w:autoSpaceDE w:val="0"/>
                              <w:autoSpaceDN w:val="0"/>
                              <w:adjustRightInd w:val="0"/>
                              <w:spacing w:after="0" w:line="360" w:lineRule="auto"/>
                              <w:jc w:val="center"/>
                              <w:rPr>
                                <w:rFonts w:ascii="gobCL" w:hAnsi="gobCL" w:cs="gobCL-Bold"/>
                                <w:b/>
                                <w:bCs/>
                                <w:color w:val="0070C0"/>
                                <w:sz w:val="43"/>
                                <w:szCs w:val="43"/>
                                <w:lang w:eastAsia="es-CL"/>
                              </w:rPr>
                            </w:pPr>
                            <w:r w:rsidRPr="009C779C">
                              <w:rPr>
                                <w:rFonts w:ascii="gobCL" w:hAnsi="gobCL" w:cstheme="minorHAnsi"/>
                                <w:color w:val="0070C0"/>
                                <w:sz w:val="36"/>
                                <w:szCs w:val="36"/>
                                <w:lang w:eastAsia="es-CL"/>
                              </w:rPr>
                              <w:t>CHILE 14 de octubre de 2022</w:t>
                            </w:r>
                          </w:p>
                          <w:p w14:paraId="42F9DD7C" w14:textId="77777777" w:rsidR="00775B97" w:rsidRPr="009C779C" w:rsidRDefault="00775B97" w:rsidP="00761BAB">
                            <w:pPr>
                              <w:autoSpaceDE w:val="0"/>
                              <w:autoSpaceDN w:val="0"/>
                              <w:adjustRightInd w:val="0"/>
                              <w:spacing w:after="0" w:line="360" w:lineRule="auto"/>
                              <w:jc w:val="center"/>
                              <w:rPr>
                                <w:rFonts w:ascii="gobCL" w:hAnsi="gobCL" w:cs="gobCL-Bold"/>
                                <w:b/>
                                <w:bCs/>
                                <w:color w:val="006FB8"/>
                                <w:sz w:val="45"/>
                                <w:szCs w:val="45"/>
                                <w:lang w:eastAsia="es-CL"/>
                              </w:rPr>
                            </w:pPr>
                          </w:p>
                          <w:p w14:paraId="06B2B21F" w14:textId="77777777" w:rsidR="00775B97" w:rsidRPr="009C779C" w:rsidRDefault="00775B97" w:rsidP="005220FC">
                            <w:pPr>
                              <w:autoSpaceDE w:val="0"/>
                              <w:autoSpaceDN w:val="0"/>
                              <w:adjustRightInd w:val="0"/>
                              <w:spacing w:after="0"/>
                              <w:jc w:val="center"/>
                              <w:rPr>
                                <w:rFonts w:ascii="gobCL" w:hAnsi="gobCL" w:cstheme="minorHAnsi"/>
                                <w:color w:val="585757"/>
                                <w:sz w:val="28"/>
                                <w:szCs w:val="28"/>
                                <w:lang w:eastAsia="es-CL"/>
                              </w:rPr>
                            </w:pPr>
                            <w:r w:rsidRPr="009C779C">
                              <w:rPr>
                                <w:rFonts w:ascii="gobCL" w:hAnsi="gobCL" w:cstheme="minorHAnsi"/>
                                <w:color w:val="585757"/>
                                <w:sz w:val="28"/>
                                <w:szCs w:val="28"/>
                                <w:lang w:eastAsia="es-CL"/>
                              </w:rPr>
                              <w:t>Departamento de Epidemiología</w:t>
                            </w:r>
                          </w:p>
                          <w:p w14:paraId="1067FB19" w14:textId="77777777" w:rsidR="00775B97" w:rsidRPr="00761BAB" w:rsidRDefault="00775B97" w:rsidP="005220FC">
                            <w:pPr>
                              <w:autoSpaceDE w:val="0"/>
                              <w:autoSpaceDN w:val="0"/>
                              <w:adjustRightInd w:val="0"/>
                              <w:spacing w:after="0"/>
                              <w:jc w:val="center"/>
                              <w:rPr>
                                <w:rFonts w:ascii="gobCL" w:hAnsi="gobCL"/>
                                <w:sz w:val="20"/>
                                <w:szCs w:val="20"/>
                              </w:rPr>
                            </w:pPr>
                            <w:r w:rsidRPr="009C779C">
                              <w:rPr>
                                <w:rFonts w:ascii="gobCL" w:hAnsi="gobCL" w:cstheme="minorHAnsi"/>
                                <w:color w:val="585757"/>
                                <w:sz w:val="28"/>
                                <w:szCs w:val="28"/>
                                <w:lang w:eastAsia="es-CL"/>
                              </w:rPr>
                              <w:t>Subsecretaría de Salud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7FC9D" id="Rectángulo 2" o:spid="_x0000_s1026" style="position:absolute;margin-left:0;margin-top:92.7pt;width:570.4pt;height:220.8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" fillcolor="white [3212]" stroked="f">
                <v:textbox>
                  <w:txbxContent>
                    <w:p w14:paraId="3870EC24" w14:textId="1FF20757" w:rsidR="00775B97" w:rsidRPr="009C779C" w:rsidRDefault="00775B97" w:rsidP="00761BAB">
                      <w:pPr>
                        <w:autoSpaceDE w:val="0"/>
                        <w:autoSpaceDN w:val="0"/>
                        <w:adjustRightInd w:val="0"/>
                        <w:spacing w:after="0" w:line="360" w:lineRule="auto"/>
                        <w:jc w:val="center"/>
                        <w:rPr>
                          <w:rFonts w:ascii="gobCL" w:hAnsi="gobCL" w:cstheme="minorHAnsi"/>
                          <w:b/>
                          <w:bCs/>
                          <w:i/>
                          <w:iCs/>
                          <w:color w:val="0070C0"/>
                          <w:sz w:val="40"/>
                          <w:szCs w:val="40"/>
                          <w:lang w:eastAsia="es-CL"/>
                        </w:rPr>
                      </w:pPr>
                      <w:r w:rsidRPr="009C779C">
                        <w:rPr>
                          <w:rFonts w:ascii="gobCL" w:hAnsi="gobCL" w:cstheme="minorHAnsi"/>
                          <w:b/>
                          <w:bCs/>
                          <w:color w:val="0070C0"/>
                          <w:sz w:val="40"/>
                          <w:szCs w:val="40"/>
                          <w:lang w:eastAsia="es-CL"/>
                        </w:rPr>
                        <w:t>INFORME EJECUTIVO</w:t>
                      </w:r>
                    </w:p>
                    <w:p w14:paraId="5F2003C2" w14:textId="2AB7D374" w:rsidR="00775B97" w:rsidRPr="009C779C" w:rsidRDefault="00775B97" w:rsidP="00761BAB">
                      <w:pPr>
                        <w:autoSpaceDE w:val="0"/>
                        <w:autoSpaceDN w:val="0"/>
                        <w:adjustRightInd w:val="0"/>
                        <w:spacing w:after="0" w:line="360" w:lineRule="auto"/>
                        <w:jc w:val="center"/>
                        <w:rPr>
                          <w:rFonts w:ascii="gobCL" w:hAnsi="gobCL" w:cstheme="minorHAnsi"/>
                          <w:color w:val="0070C0"/>
                          <w:sz w:val="36"/>
                          <w:szCs w:val="36"/>
                          <w:lang w:eastAsia="es-CL"/>
                        </w:rPr>
                      </w:pPr>
                      <w:r w:rsidRPr="009C779C">
                        <w:rPr>
                          <w:rFonts w:ascii="gobCL" w:hAnsi="gobCL" w:cstheme="minorHAnsi"/>
                          <w:color w:val="0070C0"/>
                          <w:sz w:val="36"/>
                          <w:szCs w:val="36"/>
                          <w:lang w:eastAsia="es-CL"/>
                        </w:rPr>
                        <w:t>VIRUELA DEL MONO</w:t>
                      </w:r>
                    </w:p>
                    <w:p w14:paraId="6A3D0BC8" w14:textId="1494929D" w:rsidR="00775B97" w:rsidRPr="009C779C" w:rsidRDefault="00775B97" w:rsidP="00761BAB">
                      <w:pPr>
                        <w:autoSpaceDE w:val="0"/>
                        <w:autoSpaceDN w:val="0"/>
                        <w:adjustRightInd w:val="0"/>
                        <w:spacing w:after="0" w:line="360" w:lineRule="auto"/>
                        <w:jc w:val="center"/>
                        <w:rPr>
                          <w:rFonts w:ascii="gobCL" w:hAnsi="gobCL" w:cs="gobCL-Bold"/>
                          <w:b/>
                          <w:bCs/>
                          <w:color w:val="0070C0"/>
                          <w:sz w:val="43"/>
                          <w:szCs w:val="43"/>
                          <w:lang w:eastAsia="es-CL"/>
                        </w:rPr>
                      </w:pPr>
                      <w:r w:rsidRPr="009C779C">
                        <w:rPr>
                          <w:rFonts w:ascii="gobCL" w:hAnsi="gobCL" w:cstheme="minorHAnsi"/>
                          <w:color w:val="0070C0"/>
                          <w:sz w:val="36"/>
                          <w:szCs w:val="36"/>
                          <w:lang w:eastAsia="es-CL"/>
                        </w:rPr>
                        <w:t>CHILE 14 de octubre de 2022</w:t>
                      </w:r>
                    </w:p>
                    <w:p w14:paraId="42F9DD7C" w14:textId="77777777" w:rsidR="00775B97" w:rsidRPr="009C779C" w:rsidRDefault="00775B97" w:rsidP="00761BAB">
                      <w:pPr>
                        <w:autoSpaceDE w:val="0"/>
                        <w:autoSpaceDN w:val="0"/>
                        <w:adjustRightInd w:val="0"/>
                        <w:spacing w:after="0" w:line="360" w:lineRule="auto"/>
                        <w:jc w:val="center"/>
                        <w:rPr>
                          <w:rFonts w:ascii="gobCL" w:hAnsi="gobCL" w:cs="gobCL-Bold"/>
                          <w:b/>
                          <w:bCs/>
                          <w:color w:val="006FB8"/>
                          <w:sz w:val="45"/>
                          <w:szCs w:val="45"/>
                          <w:lang w:eastAsia="es-CL"/>
                        </w:rPr>
                      </w:pPr>
                    </w:p>
                    <w:p w14:paraId="06B2B21F" w14:textId="77777777" w:rsidR="00775B97" w:rsidRPr="009C779C" w:rsidRDefault="00775B97" w:rsidP="005220FC">
                      <w:pPr>
                        <w:autoSpaceDE w:val="0"/>
                        <w:autoSpaceDN w:val="0"/>
                        <w:adjustRightInd w:val="0"/>
                        <w:spacing w:after="0"/>
                        <w:jc w:val="center"/>
                        <w:rPr>
                          <w:rFonts w:ascii="gobCL" w:hAnsi="gobCL" w:cstheme="minorHAnsi"/>
                          <w:color w:val="585757"/>
                          <w:sz w:val="28"/>
                          <w:szCs w:val="28"/>
                          <w:lang w:eastAsia="es-CL"/>
                        </w:rPr>
                      </w:pPr>
                      <w:r w:rsidRPr="009C779C">
                        <w:rPr>
                          <w:rFonts w:ascii="gobCL" w:hAnsi="gobCL" w:cstheme="minorHAnsi"/>
                          <w:color w:val="585757"/>
                          <w:sz w:val="28"/>
                          <w:szCs w:val="28"/>
                          <w:lang w:eastAsia="es-CL"/>
                        </w:rPr>
                        <w:t>Departamento de Epidemiología</w:t>
                      </w:r>
                    </w:p>
                    <w:p w14:paraId="1067FB19" w14:textId="77777777" w:rsidR="00775B97" w:rsidRPr="00761BAB" w:rsidRDefault="00775B97" w:rsidP="005220FC">
                      <w:pPr>
                        <w:autoSpaceDE w:val="0"/>
                        <w:autoSpaceDN w:val="0"/>
                        <w:adjustRightInd w:val="0"/>
                        <w:spacing w:after="0"/>
                        <w:jc w:val="center"/>
                        <w:rPr>
                          <w:rFonts w:ascii="gobCL" w:hAnsi="gobCL"/>
                          <w:sz w:val="20"/>
                          <w:szCs w:val="20"/>
                        </w:rPr>
                      </w:pPr>
                      <w:r w:rsidRPr="009C779C">
                        <w:rPr>
                          <w:rFonts w:ascii="gobCL" w:hAnsi="gobCL" w:cstheme="minorHAnsi"/>
                          <w:color w:val="585757"/>
                          <w:sz w:val="28"/>
                          <w:szCs w:val="28"/>
                          <w:lang w:eastAsia="es-CL"/>
                        </w:rPr>
                        <w:t>Subsecretaría de Salud Pública</w:t>
                      </w:r>
                    </w:p>
                  </w:txbxContent>
                </v:textbox>
                <w10:wrap type="through" anchorx="margin"/>
              </v:rect>
            </w:pict>
          </mc:Fallback>
        </mc:AlternateContent>
      </w:r>
      <w:r w:rsidRPr="003241A2">
        <w:rPr>
          <w:rFonts w:ascii="gobCL" w:eastAsia="Times New Roman" w:hAnsi="gobCL" w:cs="Calibri"/>
          <w:b/>
          <w:bCs/>
          <w:lang w:eastAsia="es-CL"/>
        </w:rPr>
        <w:br w:type="page"/>
      </w:r>
      <w:r w:rsidR="005220FC" w:rsidRPr="009C779C">
        <w:rPr>
          <w:rFonts w:ascii="gobCL" w:hAnsi="gobCL"/>
          <w:b/>
          <w:bCs/>
          <w:color w:val="0070C0"/>
          <w:sz w:val="32"/>
          <w:szCs w:val="40"/>
          <w:lang w:eastAsia="es-CL"/>
        </w:rPr>
        <w:lastRenderedPageBreak/>
        <w:t>CONTENIDO</w:t>
      </w:r>
    </w:p>
    <w:sdt>
      <w:sdtPr>
        <w:rPr>
          <w:rFonts w:ascii="gobCL" w:eastAsia="Calibri" w:hAnsi="gobCL" w:cs="Times New Roman"/>
          <w:color w:val="auto"/>
          <w:sz w:val="22"/>
          <w:szCs w:val="22"/>
          <w:lang w:val="es-ES" w:eastAsia="en-US"/>
        </w:rPr>
        <w:id w:val="-630321431"/>
        <w:docPartObj>
          <w:docPartGallery w:val="Table of Contents"/>
          <w:docPartUnique/>
        </w:docPartObj>
      </w:sdtPr>
      <w:sdtEndPr>
        <w:rPr>
          <w:b/>
          <w:bCs/>
        </w:rPr>
      </w:sdtEndPr>
      <w:sdtContent>
        <w:p w14:paraId="12465259" w14:textId="46BBC25E" w:rsidR="000844CD" w:rsidRPr="009C779C" w:rsidRDefault="00717EFC" w:rsidP="000844CD">
          <w:pPr>
            <w:pStyle w:val="TtuloTDC"/>
            <w:spacing w:before="0" w:line="360" w:lineRule="auto"/>
            <w:rPr>
              <w:rFonts w:cstheme="minorBidi"/>
              <w:noProof/>
            </w:rPr>
          </w:pPr>
          <w:r w:rsidRPr="009C779C">
            <w:rPr>
              <w:rFonts w:ascii="gobCL" w:eastAsiaTheme="minorEastAsia" w:hAnsi="gobCL"/>
            </w:rPr>
            <w:fldChar w:fldCharType="begin"/>
          </w:r>
          <w:r w:rsidRPr="009C779C">
            <w:rPr>
              <w:rFonts w:ascii="gobCL" w:hAnsi="gobCL"/>
            </w:rPr>
            <w:instrText xml:space="preserve"> TOC \o "1-3" \h \z \u </w:instrText>
          </w:r>
          <w:r w:rsidRPr="009C779C">
            <w:rPr>
              <w:rFonts w:ascii="gobCL" w:eastAsiaTheme="minorEastAsia" w:hAnsi="gobCL"/>
            </w:rPr>
            <w:fldChar w:fldCharType="separate"/>
          </w:r>
          <w:hyperlink w:anchor="_Toc115441218" w:history="1"/>
        </w:p>
        <w:p w14:paraId="2ED1ED96" w14:textId="6895489F" w:rsidR="000844CD" w:rsidRPr="009C779C" w:rsidRDefault="004B0D70">
          <w:pPr>
            <w:pStyle w:val="TDC1"/>
            <w:rPr>
              <w:rFonts w:cstheme="minorBidi"/>
              <w:noProof/>
            </w:rPr>
          </w:pPr>
          <w:hyperlink w:anchor="_Toc115441219" w:history="1">
            <w:r w:rsidR="000844CD" w:rsidRPr="009C779C">
              <w:rPr>
                <w:rStyle w:val="Hipervnculo"/>
                <w:rFonts w:ascii="gobCL" w:eastAsia="Times New Roman" w:hAnsi="gobCL"/>
                <w:b/>
                <w:bCs/>
                <w:noProof/>
              </w:rPr>
              <w:t>1.</w:t>
            </w:r>
            <w:r w:rsidR="000844CD" w:rsidRPr="009C779C">
              <w:rPr>
                <w:rFonts w:cstheme="minorBidi"/>
                <w:noProof/>
              </w:rPr>
              <w:tab/>
            </w:r>
            <w:r w:rsidR="000844CD" w:rsidRPr="009C779C">
              <w:rPr>
                <w:rStyle w:val="Hipervnculo"/>
                <w:rFonts w:ascii="gobCL" w:eastAsia="Times New Roman" w:hAnsi="gobCL"/>
                <w:b/>
                <w:bCs/>
                <w:noProof/>
              </w:rPr>
              <w:t>RESUMEN</w:t>
            </w:r>
            <w:r w:rsidR="000844CD" w:rsidRPr="009C779C">
              <w:rPr>
                <w:noProof/>
                <w:webHidden/>
              </w:rPr>
              <w:tab/>
            </w:r>
            <w:r w:rsidR="000844CD" w:rsidRPr="009C779C">
              <w:rPr>
                <w:noProof/>
                <w:webHidden/>
              </w:rPr>
              <w:fldChar w:fldCharType="begin"/>
            </w:r>
            <w:r w:rsidR="000844CD" w:rsidRPr="009C779C">
              <w:rPr>
                <w:noProof/>
                <w:webHidden/>
              </w:rPr>
              <w:instrText xml:space="preserve"> PAGEREF _Toc115441219 \h </w:instrText>
            </w:r>
            <w:r w:rsidR="000844CD" w:rsidRPr="009C779C">
              <w:rPr>
                <w:noProof/>
                <w:webHidden/>
              </w:rPr>
            </w:r>
            <w:r w:rsidR="000844CD" w:rsidRPr="009C779C">
              <w:rPr>
                <w:noProof/>
                <w:webHidden/>
              </w:rPr>
              <w:fldChar w:fldCharType="separate"/>
            </w:r>
            <w:r w:rsidR="00751FC6" w:rsidRPr="009C779C">
              <w:rPr>
                <w:noProof/>
                <w:webHidden/>
              </w:rPr>
              <w:t>3</w:t>
            </w:r>
            <w:r w:rsidR="000844CD" w:rsidRPr="009C779C">
              <w:rPr>
                <w:noProof/>
                <w:webHidden/>
              </w:rPr>
              <w:fldChar w:fldCharType="end"/>
            </w:r>
          </w:hyperlink>
        </w:p>
        <w:p w14:paraId="46945162" w14:textId="473306CC" w:rsidR="000844CD" w:rsidRPr="009C779C" w:rsidRDefault="004B0D70">
          <w:pPr>
            <w:pStyle w:val="TDC1"/>
            <w:rPr>
              <w:rFonts w:cstheme="minorBidi"/>
              <w:noProof/>
            </w:rPr>
          </w:pPr>
          <w:hyperlink w:anchor="_Toc115441220" w:history="1">
            <w:r w:rsidR="000844CD" w:rsidRPr="009C779C">
              <w:rPr>
                <w:rStyle w:val="Hipervnculo"/>
                <w:rFonts w:ascii="gobCL" w:eastAsia="Times New Roman" w:hAnsi="gobCL"/>
                <w:b/>
                <w:bCs/>
                <w:noProof/>
              </w:rPr>
              <w:t>2.</w:t>
            </w:r>
            <w:r w:rsidR="000844CD" w:rsidRPr="009C779C">
              <w:rPr>
                <w:rFonts w:cstheme="minorBidi"/>
                <w:noProof/>
              </w:rPr>
              <w:tab/>
            </w:r>
            <w:r w:rsidR="000844CD" w:rsidRPr="009C779C">
              <w:rPr>
                <w:rStyle w:val="Hipervnculo"/>
                <w:rFonts w:ascii="gobCL" w:eastAsia="Times New Roman" w:hAnsi="gobCL"/>
                <w:b/>
                <w:bCs/>
                <w:noProof/>
              </w:rPr>
              <w:t>OBJETIVO DEL REPORTE</w:t>
            </w:r>
            <w:r w:rsidR="000844CD" w:rsidRPr="009C779C">
              <w:rPr>
                <w:noProof/>
                <w:webHidden/>
              </w:rPr>
              <w:tab/>
            </w:r>
            <w:r w:rsidR="000844CD" w:rsidRPr="009C779C">
              <w:rPr>
                <w:noProof/>
                <w:webHidden/>
              </w:rPr>
              <w:fldChar w:fldCharType="begin"/>
            </w:r>
            <w:r w:rsidR="000844CD" w:rsidRPr="009C779C">
              <w:rPr>
                <w:noProof/>
                <w:webHidden/>
              </w:rPr>
              <w:instrText xml:space="preserve"> PAGEREF _Toc115441220 \h </w:instrText>
            </w:r>
            <w:r w:rsidR="000844CD" w:rsidRPr="009C779C">
              <w:rPr>
                <w:noProof/>
                <w:webHidden/>
              </w:rPr>
            </w:r>
            <w:r w:rsidR="000844CD" w:rsidRPr="009C779C">
              <w:rPr>
                <w:noProof/>
                <w:webHidden/>
              </w:rPr>
              <w:fldChar w:fldCharType="separate"/>
            </w:r>
            <w:r w:rsidR="00751FC6" w:rsidRPr="009C779C">
              <w:rPr>
                <w:noProof/>
                <w:webHidden/>
              </w:rPr>
              <w:t>3</w:t>
            </w:r>
            <w:r w:rsidR="000844CD" w:rsidRPr="009C779C">
              <w:rPr>
                <w:noProof/>
                <w:webHidden/>
              </w:rPr>
              <w:fldChar w:fldCharType="end"/>
            </w:r>
          </w:hyperlink>
        </w:p>
        <w:p w14:paraId="4302F7CA" w14:textId="77BE77CD" w:rsidR="000844CD" w:rsidRPr="009C779C" w:rsidRDefault="004B0D70">
          <w:pPr>
            <w:pStyle w:val="TDC1"/>
            <w:rPr>
              <w:rFonts w:cstheme="minorBidi"/>
              <w:noProof/>
            </w:rPr>
          </w:pPr>
          <w:hyperlink w:anchor="_Toc115441221" w:history="1">
            <w:r w:rsidR="000844CD" w:rsidRPr="009C779C">
              <w:rPr>
                <w:rStyle w:val="Hipervnculo"/>
                <w:rFonts w:ascii="gobCL" w:eastAsia="Times New Roman" w:hAnsi="gobCL"/>
                <w:b/>
                <w:bCs/>
                <w:noProof/>
              </w:rPr>
              <w:t>3.</w:t>
            </w:r>
            <w:r w:rsidR="000844CD" w:rsidRPr="009C779C">
              <w:rPr>
                <w:rFonts w:cstheme="minorBidi"/>
                <w:noProof/>
              </w:rPr>
              <w:tab/>
            </w:r>
            <w:r w:rsidR="000844CD" w:rsidRPr="009C779C">
              <w:rPr>
                <w:rStyle w:val="Hipervnculo"/>
                <w:rFonts w:ascii="gobCL" w:eastAsia="Times New Roman" w:hAnsi="gobCL"/>
                <w:b/>
                <w:bCs/>
                <w:noProof/>
              </w:rPr>
              <w:t>ANTECEDENTES</w:t>
            </w:r>
            <w:r w:rsidR="000844CD" w:rsidRPr="009C779C">
              <w:rPr>
                <w:noProof/>
                <w:webHidden/>
              </w:rPr>
              <w:tab/>
            </w:r>
            <w:r w:rsidR="000844CD" w:rsidRPr="009C779C">
              <w:rPr>
                <w:noProof/>
                <w:webHidden/>
              </w:rPr>
              <w:fldChar w:fldCharType="begin"/>
            </w:r>
            <w:r w:rsidR="000844CD" w:rsidRPr="009C779C">
              <w:rPr>
                <w:noProof/>
                <w:webHidden/>
              </w:rPr>
              <w:instrText xml:space="preserve"> PAGEREF _Toc115441221 \h </w:instrText>
            </w:r>
            <w:r w:rsidR="000844CD" w:rsidRPr="009C779C">
              <w:rPr>
                <w:noProof/>
                <w:webHidden/>
              </w:rPr>
            </w:r>
            <w:r w:rsidR="000844CD" w:rsidRPr="009C779C">
              <w:rPr>
                <w:noProof/>
                <w:webHidden/>
              </w:rPr>
              <w:fldChar w:fldCharType="separate"/>
            </w:r>
            <w:r w:rsidR="00751FC6" w:rsidRPr="009C779C">
              <w:rPr>
                <w:noProof/>
                <w:webHidden/>
              </w:rPr>
              <w:t>4</w:t>
            </w:r>
            <w:r w:rsidR="000844CD" w:rsidRPr="009C779C">
              <w:rPr>
                <w:noProof/>
                <w:webHidden/>
              </w:rPr>
              <w:fldChar w:fldCharType="end"/>
            </w:r>
          </w:hyperlink>
        </w:p>
        <w:p w14:paraId="63E8DC65" w14:textId="60EA7A99" w:rsidR="000844CD" w:rsidRPr="009C779C" w:rsidRDefault="004B0D70">
          <w:pPr>
            <w:pStyle w:val="TDC1"/>
            <w:rPr>
              <w:rFonts w:cstheme="minorBidi"/>
              <w:noProof/>
            </w:rPr>
          </w:pPr>
          <w:hyperlink w:anchor="_Toc115441222" w:history="1">
            <w:r w:rsidR="000844CD" w:rsidRPr="009C779C">
              <w:rPr>
                <w:rStyle w:val="Hipervnculo"/>
                <w:rFonts w:ascii="gobCL" w:eastAsia="Times New Roman" w:hAnsi="gobCL"/>
                <w:b/>
                <w:bCs/>
                <w:noProof/>
              </w:rPr>
              <w:t>4.</w:t>
            </w:r>
            <w:r w:rsidR="000844CD" w:rsidRPr="009C779C">
              <w:rPr>
                <w:rFonts w:cstheme="minorBidi"/>
                <w:noProof/>
              </w:rPr>
              <w:tab/>
            </w:r>
            <w:r w:rsidR="000844CD" w:rsidRPr="009C779C">
              <w:rPr>
                <w:rStyle w:val="Hipervnculo"/>
                <w:rFonts w:ascii="gobCL" w:eastAsia="Times New Roman" w:hAnsi="gobCL"/>
                <w:b/>
                <w:bCs/>
                <w:noProof/>
              </w:rPr>
              <w:t>MÉTODO</w:t>
            </w:r>
            <w:r w:rsidR="000844CD" w:rsidRPr="009C779C">
              <w:rPr>
                <w:noProof/>
                <w:webHidden/>
              </w:rPr>
              <w:tab/>
            </w:r>
            <w:r w:rsidR="000844CD" w:rsidRPr="009C779C">
              <w:rPr>
                <w:noProof/>
                <w:webHidden/>
              </w:rPr>
              <w:fldChar w:fldCharType="begin"/>
            </w:r>
            <w:r w:rsidR="000844CD" w:rsidRPr="009C779C">
              <w:rPr>
                <w:noProof/>
                <w:webHidden/>
              </w:rPr>
              <w:instrText xml:space="preserve"> PAGEREF _Toc115441222 \h </w:instrText>
            </w:r>
            <w:r w:rsidR="000844CD" w:rsidRPr="009C779C">
              <w:rPr>
                <w:noProof/>
                <w:webHidden/>
              </w:rPr>
            </w:r>
            <w:r w:rsidR="000844CD" w:rsidRPr="009C779C">
              <w:rPr>
                <w:noProof/>
                <w:webHidden/>
              </w:rPr>
              <w:fldChar w:fldCharType="separate"/>
            </w:r>
            <w:r w:rsidR="00751FC6" w:rsidRPr="009C779C">
              <w:rPr>
                <w:noProof/>
                <w:webHidden/>
              </w:rPr>
              <w:t>5</w:t>
            </w:r>
            <w:r w:rsidR="000844CD" w:rsidRPr="009C779C">
              <w:rPr>
                <w:noProof/>
                <w:webHidden/>
              </w:rPr>
              <w:fldChar w:fldCharType="end"/>
            </w:r>
          </w:hyperlink>
        </w:p>
        <w:p w14:paraId="775BEAA0" w14:textId="03AF14EF" w:rsidR="000844CD" w:rsidRPr="009C779C" w:rsidRDefault="004B0D70">
          <w:pPr>
            <w:pStyle w:val="TDC1"/>
            <w:rPr>
              <w:rFonts w:cstheme="minorBidi"/>
              <w:noProof/>
            </w:rPr>
          </w:pPr>
          <w:hyperlink w:anchor="_Toc115441223" w:history="1">
            <w:r w:rsidR="000844CD" w:rsidRPr="009C779C">
              <w:rPr>
                <w:rStyle w:val="Hipervnculo"/>
                <w:rFonts w:ascii="gobCL" w:eastAsia="Times New Roman" w:hAnsi="gobCL"/>
                <w:b/>
                <w:bCs/>
                <w:noProof/>
              </w:rPr>
              <w:t>5.</w:t>
            </w:r>
            <w:r w:rsidR="000844CD" w:rsidRPr="009C779C">
              <w:rPr>
                <w:rFonts w:cstheme="minorBidi"/>
                <w:noProof/>
              </w:rPr>
              <w:tab/>
            </w:r>
            <w:r w:rsidR="000844CD" w:rsidRPr="009C779C">
              <w:rPr>
                <w:rStyle w:val="Hipervnculo"/>
                <w:rFonts w:ascii="gobCL" w:eastAsia="Times New Roman" w:hAnsi="gobCL"/>
                <w:b/>
                <w:bCs/>
                <w:noProof/>
              </w:rPr>
              <w:t>SITUACIÓN EPIDEMIOLÓGICA</w:t>
            </w:r>
            <w:r w:rsidR="000844CD" w:rsidRPr="009C779C">
              <w:rPr>
                <w:noProof/>
                <w:webHidden/>
              </w:rPr>
              <w:tab/>
            </w:r>
            <w:r w:rsidR="000844CD" w:rsidRPr="009C779C">
              <w:rPr>
                <w:noProof/>
                <w:webHidden/>
              </w:rPr>
              <w:fldChar w:fldCharType="begin"/>
            </w:r>
            <w:r w:rsidR="000844CD" w:rsidRPr="009C779C">
              <w:rPr>
                <w:noProof/>
                <w:webHidden/>
              </w:rPr>
              <w:instrText xml:space="preserve"> PAGEREF _Toc115441223 \h </w:instrText>
            </w:r>
            <w:r w:rsidR="000844CD" w:rsidRPr="009C779C">
              <w:rPr>
                <w:noProof/>
                <w:webHidden/>
              </w:rPr>
            </w:r>
            <w:r w:rsidR="000844CD" w:rsidRPr="009C779C">
              <w:rPr>
                <w:noProof/>
                <w:webHidden/>
              </w:rPr>
              <w:fldChar w:fldCharType="separate"/>
            </w:r>
            <w:r w:rsidR="00751FC6" w:rsidRPr="009C779C">
              <w:rPr>
                <w:noProof/>
                <w:webHidden/>
              </w:rPr>
              <w:t>7</w:t>
            </w:r>
            <w:r w:rsidR="000844CD" w:rsidRPr="009C779C">
              <w:rPr>
                <w:noProof/>
                <w:webHidden/>
              </w:rPr>
              <w:fldChar w:fldCharType="end"/>
            </w:r>
          </w:hyperlink>
        </w:p>
        <w:p w14:paraId="1C44F776" w14:textId="3F37FE6A" w:rsidR="000844CD" w:rsidRPr="009C779C" w:rsidRDefault="004B0D70">
          <w:pPr>
            <w:pStyle w:val="TDC1"/>
            <w:rPr>
              <w:rFonts w:cstheme="minorBidi"/>
              <w:noProof/>
            </w:rPr>
          </w:pPr>
          <w:hyperlink w:anchor="_Toc115441224" w:history="1">
            <w:r w:rsidR="000844CD" w:rsidRPr="009C779C">
              <w:rPr>
                <w:rStyle w:val="Hipervnculo"/>
                <w:rFonts w:ascii="gobCL" w:eastAsia="Times New Roman" w:hAnsi="gobCL"/>
                <w:b/>
                <w:bCs/>
                <w:noProof/>
              </w:rPr>
              <w:t>6.</w:t>
            </w:r>
            <w:r w:rsidR="000844CD" w:rsidRPr="009C779C">
              <w:rPr>
                <w:rFonts w:cstheme="minorBidi"/>
                <w:noProof/>
              </w:rPr>
              <w:tab/>
            </w:r>
            <w:r w:rsidR="000844CD" w:rsidRPr="009C779C">
              <w:rPr>
                <w:rStyle w:val="Hipervnculo"/>
                <w:rFonts w:ascii="gobCL" w:eastAsia="Times New Roman" w:hAnsi="gobCL"/>
                <w:b/>
                <w:bCs/>
                <w:noProof/>
              </w:rPr>
              <w:t>BROTES Y CONGLOMERADOS</w:t>
            </w:r>
            <w:r w:rsidR="000844CD" w:rsidRPr="009C779C">
              <w:rPr>
                <w:noProof/>
                <w:webHidden/>
              </w:rPr>
              <w:tab/>
            </w:r>
            <w:r w:rsidR="000844CD" w:rsidRPr="009C779C">
              <w:rPr>
                <w:noProof/>
                <w:webHidden/>
              </w:rPr>
              <w:fldChar w:fldCharType="begin"/>
            </w:r>
            <w:r w:rsidR="000844CD" w:rsidRPr="009C779C">
              <w:rPr>
                <w:noProof/>
                <w:webHidden/>
              </w:rPr>
              <w:instrText xml:space="preserve"> PAGEREF _Toc115441224 \h </w:instrText>
            </w:r>
            <w:r w:rsidR="000844CD" w:rsidRPr="009C779C">
              <w:rPr>
                <w:noProof/>
                <w:webHidden/>
              </w:rPr>
            </w:r>
            <w:r w:rsidR="000844CD" w:rsidRPr="009C779C">
              <w:rPr>
                <w:noProof/>
                <w:webHidden/>
              </w:rPr>
              <w:fldChar w:fldCharType="separate"/>
            </w:r>
            <w:r w:rsidR="00751FC6" w:rsidRPr="009C779C">
              <w:rPr>
                <w:noProof/>
                <w:webHidden/>
              </w:rPr>
              <w:t>14</w:t>
            </w:r>
            <w:r w:rsidR="000844CD" w:rsidRPr="009C779C">
              <w:rPr>
                <w:noProof/>
                <w:webHidden/>
              </w:rPr>
              <w:fldChar w:fldCharType="end"/>
            </w:r>
          </w:hyperlink>
        </w:p>
        <w:p w14:paraId="1CD61CBF" w14:textId="353C5301" w:rsidR="000844CD" w:rsidRPr="009C779C" w:rsidRDefault="004B0D70">
          <w:pPr>
            <w:pStyle w:val="TDC1"/>
            <w:rPr>
              <w:rFonts w:cstheme="minorBidi"/>
              <w:noProof/>
            </w:rPr>
          </w:pPr>
          <w:hyperlink w:anchor="_Toc115441225" w:history="1">
            <w:r w:rsidR="000844CD" w:rsidRPr="009C779C">
              <w:rPr>
                <w:rStyle w:val="Hipervnculo"/>
                <w:rFonts w:ascii="gobCL" w:eastAsia="Times New Roman" w:hAnsi="gobCL"/>
                <w:b/>
                <w:bCs/>
                <w:noProof/>
              </w:rPr>
              <w:t>7.</w:t>
            </w:r>
            <w:r w:rsidR="000844CD" w:rsidRPr="009C779C">
              <w:rPr>
                <w:rFonts w:cstheme="minorBidi"/>
                <w:noProof/>
              </w:rPr>
              <w:tab/>
            </w:r>
            <w:r w:rsidR="000844CD" w:rsidRPr="009C779C">
              <w:rPr>
                <w:rStyle w:val="Hipervnculo"/>
                <w:rFonts w:ascii="gobCL" w:eastAsia="Times New Roman" w:hAnsi="gobCL"/>
                <w:b/>
                <w:bCs/>
                <w:noProof/>
              </w:rPr>
              <w:t>CONCEPTOS CLAVES</w:t>
            </w:r>
            <w:r w:rsidR="000844CD" w:rsidRPr="009C779C">
              <w:rPr>
                <w:noProof/>
                <w:webHidden/>
              </w:rPr>
              <w:tab/>
            </w:r>
            <w:r w:rsidR="000844CD" w:rsidRPr="009C779C">
              <w:rPr>
                <w:noProof/>
                <w:webHidden/>
              </w:rPr>
              <w:fldChar w:fldCharType="begin"/>
            </w:r>
            <w:r w:rsidR="000844CD" w:rsidRPr="009C779C">
              <w:rPr>
                <w:noProof/>
                <w:webHidden/>
              </w:rPr>
              <w:instrText xml:space="preserve"> PAGEREF _Toc115441225 \h </w:instrText>
            </w:r>
            <w:r w:rsidR="000844CD" w:rsidRPr="009C779C">
              <w:rPr>
                <w:noProof/>
                <w:webHidden/>
              </w:rPr>
            </w:r>
            <w:r w:rsidR="000844CD" w:rsidRPr="009C779C">
              <w:rPr>
                <w:noProof/>
                <w:webHidden/>
              </w:rPr>
              <w:fldChar w:fldCharType="separate"/>
            </w:r>
            <w:r w:rsidR="00751FC6" w:rsidRPr="009C779C">
              <w:rPr>
                <w:noProof/>
                <w:webHidden/>
              </w:rPr>
              <w:t>20</w:t>
            </w:r>
            <w:r w:rsidR="000844CD" w:rsidRPr="009C779C">
              <w:rPr>
                <w:noProof/>
                <w:webHidden/>
              </w:rPr>
              <w:fldChar w:fldCharType="end"/>
            </w:r>
          </w:hyperlink>
        </w:p>
        <w:p w14:paraId="5D198BAC" w14:textId="1CBA26DD" w:rsidR="000844CD" w:rsidRPr="009C779C" w:rsidRDefault="004B0D70">
          <w:pPr>
            <w:pStyle w:val="TDC1"/>
            <w:rPr>
              <w:rFonts w:cstheme="minorBidi"/>
              <w:noProof/>
            </w:rPr>
          </w:pPr>
          <w:hyperlink w:anchor="_Toc115441226" w:history="1">
            <w:r w:rsidR="000844CD" w:rsidRPr="009C779C">
              <w:rPr>
                <w:rStyle w:val="Hipervnculo"/>
                <w:rFonts w:ascii="gobCL" w:eastAsia="Times New Roman" w:hAnsi="gobCL"/>
                <w:b/>
                <w:bCs/>
                <w:noProof/>
              </w:rPr>
              <w:t>8.</w:t>
            </w:r>
            <w:r w:rsidR="000844CD" w:rsidRPr="009C779C">
              <w:rPr>
                <w:rFonts w:cstheme="minorBidi"/>
                <w:noProof/>
              </w:rPr>
              <w:tab/>
            </w:r>
            <w:r w:rsidR="000844CD" w:rsidRPr="009C779C">
              <w:rPr>
                <w:rStyle w:val="Hipervnculo"/>
                <w:rFonts w:ascii="gobCL" w:eastAsia="Times New Roman" w:hAnsi="gobCL"/>
                <w:b/>
                <w:bCs/>
                <w:noProof/>
              </w:rPr>
              <w:t>REFERENCIAS</w:t>
            </w:r>
            <w:r w:rsidR="000844CD" w:rsidRPr="009C779C">
              <w:rPr>
                <w:noProof/>
                <w:webHidden/>
              </w:rPr>
              <w:tab/>
            </w:r>
            <w:r w:rsidR="000844CD" w:rsidRPr="009C779C">
              <w:rPr>
                <w:noProof/>
                <w:webHidden/>
              </w:rPr>
              <w:fldChar w:fldCharType="begin"/>
            </w:r>
            <w:r w:rsidR="000844CD" w:rsidRPr="009C779C">
              <w:rPr>
                <w:noProof/>
                <w:webHidden/>
              </w:rPr>
              <w:instrText xml:space="preserve"> PAGEREF _Toc115441226 \h </w:instrText>
            </w:r>
            <w:r w:rsidR="000844CD" w:rsidRPr="009C779C">
              <w:rPr>
                <w:noProof/>
                <w:webHidden/>
              </w:rPr>
            </w:r>
            <w:r w:rsidR="000844CD" w:rsidRPr="009C779C">
              <w:rPr>
                <w:noProof/>
                <w:webHidden/>
              </w:rPr>
              <w:fldChar w:fldCharType="separate"/>
            </w:r>
            <w:r w:rsidR="00751FC6" w:rsidRPr="009C779C">
              <w:rPr>
                <w:noProof/>
                <w:webHidden/>
              </w:rPr>
              <w:t>23</w:t>
            </w:r>
            <w:r w:rsidR="000844CD" w:rsidRPr="009C779C">
              <w:rPr>
                <w:noProof/>
                <w:webHidden/>
              </w:rPr>
              <w:fldChar w:fldCharType="end"/>
            </w:r>
          </w:hyperlink>
        </w:p>
        <w:p w14:paraId="4EFD53EC" w14:textId="1FDC60DE" w:rsidR="00717EFC" w:rsidRPr="003241A2" w:rsidRDefault="00717EFC" w:rsidP="00761BAB">
          <w:pPr>
            <w:spacing w:after="0" w:line="360" w:lineRule="auto"/>
            <w:rPr>
              <w:rFonts w:ascii="gobCL" w:hAnsi="gobCL"/>
            </w:rPr>
          </w:pPr>
          <w:r w:rsidRPr="009C779C">
            <w:rPr>
              <w:rFonts w:ascii="gobCL" w:hAnsi="gobCL"/>
              <w:b/>
              <w:bCs/>
              <w:lang w:val="es-ES"/>
            </w:rPr>
            <w:fldChar w:fldCharType="end"/>
          </w:r>
        </w:p>
      </w:sdtContent>
    </w:sdt>
    <w:p w14:paraId="2FE1C789" w14:textId="195C0E04" w:rsidR="00070CCA" w:rsidRPr="003241A2" w:rsidRDefault="00070CCA" w:rsidP="00761BAB">
      <w:pPr>
        <w:spacing w:after="0" w:line="360" w:lineRule="auto"/>
        <w:rPr>
          <w:rFonts w:ascii="gobCL" w:eastAsia="Times New Roman" w:hAnsi="gobCL" w:cs="Calibri"/>
          <w:b/>
          <w:bCs/>
          <w:lang w:eastAsia="es-CL"/>
        </w:rPr>
      </w:pPr>
      <w:r w:rsidRPr="003241A2">
        <w:rPr>
          <w:rFonts w:ascii="gobCL" w:eastAsia="Times New Roman" w:hAnsi="gobCL" w:cs="Calibri"/>
          <w:b/>
          <w:bCs/>
          <w:lang w:eastAsia="es-CL"/>
        </w:rPr>
        <w:br w:type="page"/>
      </w:r>
    </w:p>
    <w:p w14:paraId="63659E55" w14:textId="6632091A" w:rsidR="00BF4DA5" w:rsidRPr="009C779C" w:rsidRDefault="00BF4DA5">
      <w:pPr>
        <w:pStyle w:val="Ttulo1"/>
        <w:numPr>
          <w:ilvl w:val="0"/>
          <w:numId w:val="2"/>
        </w:numPr>
        <w:spacing w:before="0" w:line="360" w:lineRule="auto"/>
        <w:rPr>
          <w:rFonts w:ascii="gobCL" w:eastAsia="Times New Roman" w:hAnsi="gobCL"/>
          <w:b/>
          <w:bCs/>
          <w:color w:val="0070C0"/>
          <w:lang w:eastAsia="es-CL"/>
        </w:rPr>
      </w:pPr>
      <w:bookmarkStart w:id="1" w:name="_Toc115441219"/>
      <w:r w:rsidRPr="009C779C">
        <w:rPr>
          <w:rFonts w:ascii="gobCL" w:eastAsia="Times New Roman" w:hAnsi="gobCL"/>
          <w:b/>
          <w:bCs/>
          <w:color w:val="0070C0"/>
          <w:lang w:eastAsia="es-CL"/>
        </w:rPr>
        <w:lastRenderedPageBreak/>
        <w:t>RESUMEN</w:t>
      </w:r>
      <w:bookmarkEnd w:id="1"/>
    </w:p>
    <w:p w14:paraId="28941E36" w14:textId="77777777" w:rsidR="00004D99" w:rsidRPr="009C779C" w:rsidRDefault="00004D99" w:rsidP="00004D99">
      <w:pPr>
        <w:rPr>
          <w:lang w:eastAsia="es-CL"/>
        </w:rPr>
      </w:pPr>
    </w:p>
    <w:p w14:paraId="0BD30D34" w14:textId="2F8055FA" w:rsidR="001140B1" w:rsidRPr="009C779C" w:rsidRDefault="00004D99" w:rsidP="00E9311B">
      <w:pPr>
        <w:pStyle w:val="Prrafodelista"/>
        <w:numPr>
          <w:ilvl w:val="0"/>
          <w:numId w:val="7"/>
        </w:numPr>
        <w:spacing w:after="0" w:line="360" w:lineRule="auto"/>
        <w:jc w:val="both"/>
        <w:rPr>
          <w:rFonts w:ascii="gobCL" w:eastAsia="Times New Roman" w:hAnsi="gobCL" w:cs="Calibri"/>
          <w:lang w:eastAsia="es-CL"/>
        </w:rPr>
      </w:pPr>
      <w:r w:rsidRPr="009C779C">
        <w:rPr>
          <w:rFonts w:ascii="gobCL" w:eastAsia="Times New Roman" w:hAnsi="gobCL" w:cs="Calibri"/>
          <w:lang w:eastAsia="es-CL"/>
        </w:rPr>
        <w:t xml:space="preserve">En Chile, hasta el </w:t>
      </w:r>
      <w:r w:rsidR="00F7141F" w:rsidRPr="009C779C">
        <w:rPr>
          <w:rFonts w:ascii="gobCL" w:eastAsia="Times New Roman" w:hAnsi="gobCL" w:cs="Calibri"/>
          <w:lang w:eastAsia="es-CL"/>
        </w:rPr>
        <w:t>1</w:t>
      </w:r>
      <w:r w:rsidR="00AF209E" w:rsidRPr="009C779C">
        <w:rPr>
          <w:rFonts w:ascii="gobCL" w:eastAsia="Times New Roman" w:hAnsi="gobCL" w:cs="Calibri"/>
          <w:lang w:eastAsia="es-CL"/>
        </w:rPr>
        <w:t>3</w:t>
      </w:r>
      <w:r w:rsidRPr="009C779C">
        <w:rPr>
          <w:rFonts w:ascii="gobCL" w:eastAsia="Times New Roman" w:hAnsi="gobCL" w:cs="Calibri"/>
          <w:lang w:eastAsia="es-CL"/>
        </w:rPr>
        <w:t xml:space="preserve"> de </w:t>
      </w:r>
      <w:r w:rsidR="005E19BB" w:rsidRPr="009C779C">
        <w:rPr>
          <w:rFonts w:ascii="gobCL" w:eastAsia="Times New Roman" w:hAnsi="gobCL" w:cs="Calibri"/>
          <w:lang w:eastAsia="es-CL"/>
        </w:rPr>
        <w:t>octubre</w:t>
      </w:r>
      <w:r w:rsidRPr="009C779C">
        <w:rPr>
          <w:rFonts w:ascii="gobCL" w:eastAsia="Times New Roman" w:hAnsi="gobCL" w:cs="Calibri"/>
          <w:lang w:eastAsia="es-CL"/>
        </w:rPr>
        <w:t xml:space="preserve"> de 2022 se registraron </w:t>
      </w:r>
      <w:r w:rsidR="00C33A37" w:rsidRPr="009C779C">
        <w:rPr>
          <w:rFonts w:ascii="gobCL" w:eastAsia="Times New Roman" w:hAnsi="gobCL" w:cs="Calibri"/>
          <w:lang w:eastAsia="es-CL"/>
        </w:rPr>
        <w:t>1.0</w:t>
      </w:r>
      <w:r w:rsidR="001559D2" w:rsidRPr="009C779C">
        <w:rPr>
          <w:rFonts w:ascii="gobCL" w:eastAsia="Times New Roman" w:hAnsi="gobCL" w:cs="Calibri"/>
          <w:lang w:eastAsia="es-CL"/>
        </w:rPr>
        <w:t>93</w:t>
      </w:r>
      <w:r w:rsidRPr="009C779C">
        <w:rPr>
          <w:rFonts w:ascii="gobCL" w:eastAsia="Times New Roman" w:hAnsi="gobCL" w:cs="Calibri"/>
          <w:lang w:eastAsia="es-CL"/>
        </w:rPr>
        <w:t xml:space="preserve"> casos de viruela del mono (</w:t>
      </w:r>
      <w:r w:rsidR="00C33A37" w:rsidRPr="009C779C">
        <w:rPr>
          <w:rFonts w:ascii="gobCL" w:eastAsia="Times New Roman" w:hAnsi="gobCL" w:cs="Calibri"/>
          <w:lang w:eastAsia="es-CL"/>
        </w:rPr>
        <w:t>1.0</w:t>
      </w:r>
      <w:r w:rsidR="008D068B" w:rsidRPr="009C779C">
        <w:rPr>
          <w:rFonts w:ascii="gobCL" w:eastAsia="Times New Roman" w:hAnsi="gobCL" w:cs="Calibri"/>
          <w:lang w:eastAsia="es-CL"/>
        </w:rPr>
        <w:t>7</w:t>
      </w:r>
      <w:r w:rsidR="00D4691C" w:rsidRPr="009C779C">
        <w:rPr>
          <w:rFonts w:ascii="gobCL" w:eastAsia="Times New Roman" w:hAnsi="gobCL" w:cs="Calibri"/>
          <w:lang w:eastAsia="es-CL"/>
        </w:rPr>
        <w:t>8</w:t>
      </w:r>
      <w:r w:rsidRPr="009C779C">
        <w:rPr>
          <w:rFonts w:ascii="gobCL" w:eastAsia="Times New Roman" w:hAnsi="gobCL" w:cs="Calibri"/>
          <w:lang w:eastAsia="es-CL"/>
        </w:rPr>
        <w:t xml:space="preserve"> confirmados y </w:t>
      </w:r>
      <w:r w:rsidR="00A25FFE" w:rsidRPr="009C779C">
        <w:rPr>
          <w:rFonts w:ascii="gobCL" w:eastAsia="Times New Roman" w:hAnsi="gobCL" w:cs="Calibri"/>
          <w:lang w:eastAsia="es-CL"/>
        </w:rPr>
        <w:t>1</w:t>
      </w:r>
      <w:r w:rsidR="008D068B" w:rsidRPr="009C779C">
        <w:rPr>
          <w:rFonts w:ascii="gobCL" w:eastAsia="Times New Roman" w:hAnsi="gobCL" w:cs="Calibri"/>
          <w:lang w:eastAsia="es-CL"/>
        </w:rPr>
        <w:t>5</w:t>
      </w:r>
      <w:r w:rsidRPr="009C779C">
        <w:rPr>
          <w:rFonts w:ascii="gobCL" w:eastAsia="Times New Roman" w:hAnsi="gobCL" w:cs="Calibri"/>
          <w:lang w:eastAsia="es-CL"/>
        </w:rPr>
        <w:t xml:space="preserve"> probable</w:t>
      </w:r>
      <w:r w:rsidR="00C33A37" w:rsidRPr="009C779C">
        <w:rPr>
          <w:rFonts w:ascii="gobCL" w:eastAsia="Times New Roman" w:hAnsi="gobCL" w:cs="Calibri"/>
          <w:lang w:eastAsia="es-CL"/>
        </w:rPr>
        <w:t>s</w:t>
      </w:r>
      <w:r w:rsidRPr="009C779C">
        <w:rPr>
          <w:rFonts w:ascii="gobCL" w:eastAsia="Times New Roman" w:hAnsi="gobCL" w:cs="Calibri"/>
          <w:lang w:eastAsia="es-CL"/>
        </w:rPr>
        <w:t xml:space="preserve">). </w:t>
      </w:r>
      <w:r w:rsidR="001140B1" w:rsidRPr="009C779C">
        <w:rPr>
          <w:rFonts w:ascii="gobCL" w:eastAsia="Times New Roman" w:hAnsi="gobCL" w:cs="Calibri"/>
          <w:lang w:eastAsia="es-CL"/>
        </w:rPr>
        <w:t xml:space="preserve">De estos casos, </w:t>
      </w:r>
      <w:r w:rsidR="00E16C50" w:rsidRPr="009C779C">
        <w:rPr>
          <w:rFonts w:ascii="gobCL" w:eastAsia="Times New Roman" w:hAnsi="gobCL" w:cs="Calibri"/>
          <w:lang w:eastAsia="es-CL"/>
        </w:rPr>
        <w:t>117</w:t>
      </w:r>
      <w:r w:rsidR="001140B1" w:rsidRPr="009C779C">
        <w:rPr>
          <w:rFonts w:ascii="gobCL" w:eastAsia="Times New Roman" w:hAnsi="gobCL" w:cs="Calibri"/>
          <w:lang w:eastAsia="es-CL"/>
        </w:rPr>
        <w:t xml:space="preserve"> fueron hospitalizados, ninguno en Unidades de Cuidado Intensivo (UCI), prioritariamente para fines de aislamiento.</w:t>
      </w:r>
    </w:p>
    <w:p w14:paraId="7590A8EB" w14:textId="073DF189" w:rsidR="00375D50" w:rsidRPr="009C779C" w:rsidRDefault="00004D99">
      <w:pPr>
        <w:pStyle w:val="Prrafodelista"/>
        <w:numPr>
          <w:ilvl w:val="0"/>
          <w:numId w:val="7"/>
        </w:numPr>
        <w:spacing w:after="0" w:line="360" w:lineRule="auto"/>
        <w:jc w:val="both"/>
        <w:rPr>
          <w:rFonts w:ascii="gobCL" w:eastAsia="Times New Roman" w:hAnsi="gobCL" w:cs="Calibri"/>
          <w:lang w:eastAsia="es-CL"/>
        </w:rPr>
      </w:pPr>
      <w:r w:rsidRPr="009C779C">
        <w:rPr>
          <w:rFonts w:ascii="gobCL" w:eastAsia="Times New Roman" w:hAnsi="gobCL" w:cs="Calibri"/>
          <w:lang w:eastAsia="es-CL"/>
        </w:rPr>
        <w:t>La región Metropolitana concentró el 8</w:t>
      </w:r>
      <w:r w:rsidR="00143A63" w:rsidRPr="009C779C">
        <w:rPr>
          <w:rFonts w:ascii="gobCL" w:eastAsia="Times New Roman" w:hAnsi="gobCL" w:cs="Calibri"/>
          <w:lang w:eastAsia="es-CL"/>
        </w:rPr>
        <w:t>4</w:t>
      </w:r>
      <w:r w:rsidR="0037329E" w:rsidRPr="009C779C">
        <w:rPr>
          <w:rFonts w:ascii="gobCL" w:eastAsia="Times New Roman" w:hAnsi="gobCL" w:cs="Calibri"/>
          <w:lang w:eastAsia="es-CL"/>
        </w:rPr>
        <w:t>,</w:t>
      </w:r>
      <w:r w:rsidR="00143A63" w:rsidRPr="009C779C">
        <w:rPr>
          <w:rFonts w:ascii="gobCL" w:eastAsia="Times New Roman" w:hAnsi="gobCL" w:cs="Calibri"/>
          <w:lang w:eastAsia="es-CL"/>
        </w:rPr>
        <w:t>9</w:t>
      </w:r>
      <w:r w:rsidRPr="009C779C">
        <w:rPr>
          <w:rFonts w:ascii="gobCL" w:eastAsia="Times New Roman" w:hAnsi="gobCL" w:cs="Calibri"/>
          <w:lang w:eastAsia="es-CL"/>
        </w:rPr>
        <w:t xml:space="preserve">% de los casos a nivel nacional según región de residencia. </w:t>
      </w:r>
    </w:p>
    <w:p w14:paraId="17838F88" w14:textId="154B7851" w:rsidR="00375D50" w:rsidRPr="009C779C" w:rsidRDefault="00375D50">
      <w:pPr>
        <w:pStyle w:val="Prrafodelista"/>
        <w:numPr>
          <w:ilvl w:val="0"/>
          <w:numId w:val="7"/>
        </w:numPr>
        <w:spacing w:after="0" w:line="360" w:lineRule="auto"/>
        <w:jc w:val="both"/>
        <w:rPr>
          <w:rFonts w:ascii="gobCL" w:eastAsia="Times New Roman" w:hAnsi="gobCL" w:cs="Calibri"/>
          <w:lang w:eastAsia="es-CL"/>
        </w:rPr>
      </w:pPr>
      <w:r w:rsidRPr="009C779C">
        <w:rPr>
          <w:rFonts w:ascii="gobCL" w:eastAsia="Times New Roman" w:hAnsi="gobCL" w:cs="Calibri"/>
          <w:lang w:eastAsia="es-CL"/>
        </w:rPr>
        <w:t>Todas las regiones restantes presentaron algún caso de viruela símica a excepción de la región de Magallanes.</w:t>
      </w:r>
    </w:p>
    <w:p w14:paraId="2C2D356C" w14:textId="1BBABFEF" w:rsidR="00004D99" w:rsidRPr="009C779C" w:rsidRDefault="00004D99">
      <w:pPr>
        <w:pStyle w:val="Prrafodelista"/>
        <w:numPr>
          <w:ilvl w:val="0"/>
          <w:numId w:val="7"/>
        </w:numPr>
        <w:spacing w:after="0" w:line="360" w:lineRule="auto"/>
        <w:jc w:val="both"/>
        <w:rPr>
          <w:rFonts w:ascii="gobCL" w:eastAsia="Times New Roman" w:hAnsi="gobCL" w:cs="Calibri"/>
          <w:lang w:eastAsia="es-CL"/>
        </w:rPr>
      </w:pPr>
      <w:r w:rsidRPr="009C779C">
        <w:rPr>
          <w:rFonts w:ascii="gobCL" w:eastAsia="Times New Roman" w:hAnsi="gobCL" w:cs="Calibri"/>
          <w:lang w:eastAsia="es-CL"/>
        </w:rPr>
        <w:t>Los casos se presentaron en un rango etario entre los 6 meses y los 72 años, con una mediana de 34 años siendo el grupo entre los 30 y los 39 años (n=</w:t>
      </w:r>
      <w:r w:rsidR="00BA3801" w:rsidRPr="009C779C">
        <w:rPr>
          <w:rFonts w:ascii="gobCL" w:eastAsia="Times New Roman" w:hAnsi="gobCL" w:cs="Calibri"/>
          <w:lang w:eastAsia="es-CL"/>
        </w:rPr>
        <w:t>522</w:t>
      </w:r>
      <w:r w:rsidRPr="009C779C">
        <w:rPr>
          <w:rFonts w:ascii="gobCL" w:eastAsia="Times New Roman" w:hAnsi="gobCL" w:cs="Calibri"/>
          <w:lang w:eastAsia="es-CL"/>
        </w:rPr>
        <w:t>), el que concentró la mayor cantidad de casos.</w:t>
      </w:r>
    </w:p>
    <w:p w14:paraId="5D6727C1" w14:textId="3086DA00" w:rsidR="00004D99" w:rsidRPr="009C779C" w:rsidRDefault="00004D99">
      <w:pPr>
        <w:pStyle w:val="Prrafodelista"/>
        <w:numPr>
          <w:ilvl w:val="0"/>
          <w:numId w:val="7"/>
        </w:numPr>
        <w:spacing w:after="0" w:line="360" w:lineRule="auto"/>
        <w:jc w:val="both"/>
        <w:rPr>
          <w:rFonts w:ascii="gobCL" w:eastAsia="Times New Roman" w:hAnsi="gobCL" w:cs="Calibri"/>
          <w:lang w:eastAsia="es-CL"/>
        </w:rPr>
      </w:pPr>
      <w:r w:rsidRPr="009C779C">
        <w:rPr>
          <w:rFonts w:ascii="gobCL" w:eastAsia="Times New Roman" w:hAnsi="gobCL" w:cs="Calibri"/>
          <w:lang w:eastAsia="es-CL"/>
        </w:rPr>
        <w:t>El 9</w:t>
      </w:r>
      <w:r w:rsidR="005A138B" w:rsidRPr="009C779C">
        <w:rPr>
          <w:rFonts w:ascii="gobCL" w:eastAsia="Times New Roman" w:hAnsi="gobCL" w:cs="Calibri"/>
          <w:lang w:eastAsia="es-CL"/>
        </w:rPr>
        <w:t>7</w:t>
      </w:r>
      <w:r w:rsidRPr="009C779C">
        <w:rPr>
          <w:rFonts w:ascii="gobCL" w:eastAsia="Times New Roman" w:hAnsi="gobCL" w:cs="Calibri"/>
          <w:lang w:eastAsia="es-CL"/>
        </w:rPr>
        <w:t>,</w:t>
      </w:r>
      <w:r w:rsidR="009C1D2D" w:rsidRPr="009C779C">
        <w:rPr>
          <w:rFonts w:ascii="gobCL" w:eastAsia="Times New Roman" w:hAnsi="gobCL" w:cs="Calibri"/>
          <w:lang w:eastAsia="es-CL"/>
        </w:rPr>
        <w:t>5</w:t>
      </w:r>
      <w:r w:rsidRPr="009C779C">
        <w:rPr>
          <w:rFonts w:ascii="gobCL" w:eastAsia="Times New Roman" w:hAnsi="gobCL" w:cs="Calibri"/>
          <w:lang w:eastAsia="es-CL"/>
        </w:rPr>
        <w:t>% de los casos correspondieron a hombres.</w:t>
      </w:r>
    </w:p>
    <w:p w14:paraId="596D07CE" w14:textId="622849BC" w:rsidR="00004D99" w:rsidRPr="009C779C" w:rsidRDefault="00004D99">
      <w:pPr>
        <w:pStyle w:val="Prrafodelista"/>
        <w:numPr>
          <w:ilvl w:val="0"/>
          <w:numId w:val="7"/>
        </w:numPr>
        <w:spacing w:after="0" w:line="360" w:lineRule="auto"/>
        <w:jc w:val="both"/>
        <w:rPr>
          <w:rFonts w:ascii="gobCL" w:eastAsia="Times New Roman" w:hAnsi="gobCL" w:cs="Calibri"/>
          <w:lang w:eastAsia="es-CL"/>
        </w:rPr>
      </w:pPr>
      <w:r w:rsidRPr="009C779C">
        <w:rPr>
          <w:rFonts w:ascii="gobCL" w:eastAsia="Times New Roman" w:hAnsi="gobCL" w:cs="Calibri"/>
          <w:lang w:eastAsia="es-CL"/>
        </w:rPr>
        <w:t>Los signos y síntomas más frec</w:t>
      </w:r>
      <w:r w:rsidR="002B2577" w:rsidRPr="009C779C">
        <w:rPr>
          <w:rFonts w:ascii="gobCL" w:eastAsia="Times New Roman" w:hAnsi="gobCL" w:cs="Calibri"/>
          <w:lang w:eastAsia="es-CL"/>
        </w:rPr>
        <w:t>uentes son el exantema agudo (98,</w:t>
      </w:r>
      <w:r w:rsidR="00AB79D0" w:rsidRPr="009C779C">
        <w:rPr>
          <w:rFonts w:ascii="gobCL" w:eastAsia="Times New Roman" w:hAnsi="gobCL" w:cs="Calibri"/>
          <w:lang w:eastAsia="es-CL"/>
        </w:rPr>
        <w:t>9</w:t>
      </w:r>
      <w:r w:rsidRPr="009C779C">
        <w:rPr>
          <w:rFonts w:ascii="gobCL" w:eastAsia="Times New Roman" w:hAnsi="gobCL" w:cs="Calibri"/>
          <w:lang w:eastAsia="es-CL"/>
        </w:rPr>
        <w:t>%), lesiones de piel/mucosa anogenitales (</w:t>
      </w:r>
      <w:r w:rsidR="002B2577" w:rsidRPr="009C779C">
        <w:rPr>
          <w:rFonts w:ascii="gobCL" w:eastAsia="Times New Roman" w:hAnsi="gobCL" w:cs="Calibri"/>
          <w:lang w:eastAsia="es-CL"/>
        </w:rPr>
        <w:t>69,</w:t>
      </w:r>
      <w:r w:rsidR="00AB79D0" w:rsidRPr="009C779C">
        <w:rPr>
          <w:rFonts w:ascii="gobCL" w:eastAsia="Times New Roman" w:hAnsi="gobCL" w:cs="Calibri"/>
          <w:lang w:eastAsia="es-CL"/>
        </w:rPr>
        <w:t>8</w:t>
      </w:r>
      <w:r w:rsidRPr="009C779C">
        <w:rPr>
          <w:rFonts w:ascii="gobCL" w:eastAsia="Times New Roman" w:hAnsi="gobCL" w:cs="Calibri"/>
          <w:lang w:eastAsia="es-CL"/>
        </w:rPr>
        <w:t>%), linfadenopatía (5</w:t>
      </w:r>
      <w:r w:rsidR="002B2577" w:rsidRPr="009C779C">
        <w:rPr>
          <w:rFonts w:ascii="gobCL" w:eastAsia="Times New Roman" w:hAnsi="gobCL" w:cs="Calibri"/>
          <w:lang w:eastAsia="es-CL"/>
        </w:rPr>
        <w:t>5,</w:t>
      </w:r>
      <w:r w:rsidR="00D234E4" w:rsidRPr="009C779C">
        <w:rPr>
          <w:rFonts w:ascii="gobCL" w:eastAsia="Times New Roman" w:hAnsi="gobCL" w:cs="Calibri"/>
          <w:lang w:eastAsia="es-CL"/>
        </w:rPr>
        <w:t>7</w:t>
      </w:r>
      <w:r w:rsidRPr="009C779C">
        <w:rPr>
          <w:rFonts w:ascii="gobCL" w:eastAsia="Times New Roman" w:hAnsi="gobCL" w:cs="Calibri"/>
          <w:lang w:eastAsia="es-CL"/>
        </w:rPr>
        <w:t>%), mialgia (5</w:t>
      </w:r>
      <w:r w:rsidR="00D234E4" w:rsidRPr="009C779C">
        <w:rPr>
          <w:rFonts w:ascii="gobCL" w:eastAsia="Times New Roman" w:hAnsi="gobCL" w:cs="Calibri"/>
          <w:lang w:eastAsia="es-CL"/>
        </w:rPr>
        <w:t>4</w:t>
      </w:r>
      <w:r w:rsidR="00906F1F" w:rsidRPr="009C779C">
        <w:rPr>
          <w:rFonts w:ascii="gobCL" w:eastAsia="Times New Roman" w:hAnsi="gobCL" w:cs="Calibri"/>
          <w:lang w:eastAsia="es-CL"/>
        </w:rPr>
        <w:t>,</w:t>
      </w:r>
      <w:r w:rsidR="00D234E4" w:rsidRPr="009C779C">
        <w:rPr>
          <w:rFonts w:ascii="gobCL" w:eastAsia="Times New Roman" w:hAnsi="gobCL" w:cs="Calibri"/>
          <w:lang w:eastAsia="es-CL"/>
        </w:rPr>
        <w:t>2</w:t>
      </w:r>
      <w:r w:rsidR="002B2577" w:rsidRPr="009C779C">
        <w:rPr>
          <w:rFonts w:ascii="gobCL" w:eastAsia="Times New Roman" w:hAnsi="gobCL" w:cs="Calibri"/>
          <w:lang w:eastAsia="es-CL"/>
        </w:rPr>
        <w:t>%), cefalea (53,</w:t>
      </w:r>
      <w:r w:rsidR="00D234E4" w:rsidRPr="009C779C">
        <w:rPr>
          <w:rFonts w:ascii="gobCL" w:eastAsia="Times New Roman" w:hAnsi="gobCL" w:cs="Calibri"/>
          <w:lang w:eastAsia="es-CL"/>
        </w:rPr>
        <w:t>2</w:t>
      </w:r>
      <w:r w:rsidRPr="009C779C">
        <w:rPr>
          <w:rFonts w:ascii="gobCL" w:eastAsia="Times New Roman" w:hAnsi="gobCL" w:cs="Calibri"/>
          <w:lang w:eastAsia="es-CL"/>
        </w:rPr>
        <w:t>%) y fiebre &gt; 38,5° (</w:t>
      </w:r>
      <w:r w:rsidR="00906F1F" w:rsidRPr="009C779C">
        <w:rPr>
          <w:rFonts w:ascii="gobCL" w:eastAsia="Times New Roman" w:hAnsi="gobCL" w:cs="Calibri"/>
          <w:lang w:eastAsia="es-CL"/>
        </w:rPr>
        <w:t>5</w:t>
      </w:r>
      <w:r w:rsidR="007D7781" w:rsidRPr="009C779C">
        <w:rPr>
          <w:rFonts w:ascii="gobCL" w:eastAsia="Times New Roman" w:hAnsi="gobCL" w:cs="Calibri"/>
          <w:lang w:eastAsia="es-CL"/>
        </w:rPr>
        <w:t>2,</w:t>
      </w:r>
      <w:r w:rsidR="00AB79D0" w:rsidRPr="009C779C">
        <w:rPr>
          <w:rFonts w:ascii="gobCL" w:eastAsia="Times New Roman" w:hAnsi="gobCL" w:cs="Calibri"/>
          <w:lang w:eastAsia="es-CL"/>
        </w:rPr>
        <w:t>9</w:t>
      </w:r>
      <w:r w:rsidRPr="009C779C">
        <w:rPr>
          <w:rFonts w:ascii="gobCL" w:eastAsia="Times New Roman" w:hAnsi="gobCL" w:cs="Calibri"/>
          <w:lang w:eastAsia="es-CL"/>
        </w:rPr>
        <w:t>%).</w:t>
      </w:r>
    </w:p>
    <w:p w14:paraId="46D14ADE" w14:textId="783EB8C4" w:rsidR="00004D99" w:rsidRPr="009C779C" w:rsidRDefault="00725A6D">
      <w:pPr>
        <w:pStyle w:val="Prrafodelista"/>
        <w:numPr>
          <w:ilvl w:val="0"/>
          <w:numId w:val="7"/>
        </w:numPr>
        <w:spacing w:after="0" w:line="360" w:lineRule="auto"/>
        <w:jc w:val="both"/>
        <w:rPr>
          <w:rFonts w:ascii="gobCL" w:eastAsia="Times New Roman" w:hAnsi="gobCL" w:cs="Calibri"/>
          <w:lang w:eastAsia="es-CL"/>
        </w:rPr>
      </w:pPr>
      <w:r w:rsidRPr="009C779C">
        <w:rPr>
          <w:rFonts w:ascii="gobCL" w:eastAsia="Times New Roman" w:hAnsi="gobCL" w:cs="Calibri"/>
          <w:lang w:eastAsia="es-CL"/>
        </w:rPr>
        <w:t>El 5</w:t>
      </w:r>
      <w:r w:rsidR="00104D84" w:rsidRPr="009C779C">
        <w:rPr>
          <w:rFonts w:ascii="gobCL" w:eastAsia="Times New Roman" w:hAnsi="gobCL" w:cs="Calibri"/>
          <w:lang w:eastAsia="es-CL"/>
        </w:rPr>
        <w:t>3</w:t>
      </w:r>
      <w:r w:rsidR="00F360A2" w:rsidRPr="009C779C">
        <w:rPr>
          <w:rFonts w:ascii="gobCL" w:eastAsia="Times New Roman" w:hAnsi="gobCL" w:cs="Calibri"/>
          <w:lang w:eastAsia="es-CL"/>
        </w:rPr>
        <w:t>,</w:t>
      </w:r>
      <w:r w:rsidR="00C440A2" w:rsidRPr="009C779C">
        <w:rPr>
          <w:rFonts w:ascii="gobCL" w:eastAsia="Times New Roman" w:hAnsi="gobCL" w:cs="Calibri"/>
          <w:lang w:eastAsia="es-CL"/>
        </w:rPr>
        <w:t>3</w:t>
      </w:r>
      <w:r w:rsidR="00004D99" w:rsidRPr="009C779C">
        <w:rPr>
          <w:rFonts w:ascii="gobCL" w:eastAsia="Times New Roman" w:hAnsi="gobCL" w:cs="Calibri"/>
          <w:lang w:eastAsia="es-CL"/>
        </w:rPr>
        <w:t xml:space="preserve">% de los casos auto reportan coinfección con VIH, el </w:t>
      </w:r>
      <w:r w:rsidR="00254038" w:rsidRPr="009C779C">
        <w:rPr>
          <w:rFonts w:ascii="gobCL" w:eastAsia="Times New Roman" w:hAnsi="gobCL" w:cs="Calibri"/>
          <w:lang w:eastAsia="es-CL"/>
        </w:rPr>
        <w:t>1</w:t>
      </w:r>
      <w:r w:rsidR="00104D84" w:rsidRPr="009C779C">
        <w:rPr>
          <w:rFonts w:ascii="gobCL" w:eastAsia="Times New Roman" w:hAnsi="gobCL" w:cs="Calibri"/>
          <w:lang w:eastAsia="es-CL"/>
        </w:rPr>
        <w:t>1</w:t>
      </w:r>
      <w:r w:rsidR="00254038" w:rsidRPr="009C779C">
        <w:rPr>
          <w:rFonts w:ascii="gobCL" w:eastAsia="Times New Roman" w:hAnsi="gobCL" w:cs="Calibri"/>
          <w:lang w:eastAsia="es-CL"/>
        </w:rPr>
        <w:t>,</w:t>
      </w:r>
      <w:r w:rsidR="00104D84" w:rsidRPr="009C779C">
        <w:rPr>
          <w:rFonts w:ascii="gobCL" w:eastAsia="Times New Roman" w:hAnsi="gobCL" w:cs="Calibri"/>
          <w:lang w:eastAsia="es-CL"/>
        </w:rPr>
        <w:t>4</w:t>
      </w:r>
      <w:r w:rsidR="00004D99" w:rsidRPr="009C779C">
        <w:rPr>
          <w:rFonts w:ascii="gobCL" w:eastAsia="Times New Roman" w:hAnsi="gobCL" w:cs="Calibri"/>
          <w:lang w:eastAsia="es-CL"/>
        </w:rPr>
        <w:t xml:space="preserve">% con sífilis y el </w:t>
      </w:r>
      <w:r w:rsidRPr="009C779C">
        <w:rPr>
          <w:rFonts w:ascii="gobCL" w:eastAsia="Times New Roman" w:hAnsi="gobCL" w:cs="Calibri"/>
          <w:lang w:eastAsia="es-CL"/>
        </w:rPr>
        <w:t>1,</w:t>
      </w:r>
      <w:r w:rsidR="00254038" w:rsidRPr="009C779C">
        <w:rPr>
          <w:rFonts w:ascii="gobCL" w:eastAsia="Times New Roman" w:hAnsi="gobCL" w:cs="Calibri"/>
          <w:lang w:eastAsia="es-CL"/>
        </w:rPr>
        <w:t>5</w:t>
      </w:r>
      <w:r w:rsidR="00004D99" w:rsidRPr="009C779C">
        <w:rPr>
          <w:rFonts w:ascii="gobCL" w:eastAsia="Times New Roman" w:hAnsi="gobCL" w:cs="Calibri"/>
          <w:lang w:eastAsia="es-CL"/>
        </w:rPr>
        <w:t>% con gonorrea.</w:t>
      </w:r>
    </w:p>
    <w:p w14:paraId="053B101E" w14:textId="77777777" w:rsidR="00906F1F" w:rsidRDefault="00906F1F" w:rsidP="00004D99">
      <w:pPr>
        <w:spacing w:after="0" w:line="360" w:lineRule="auto"/>
        <w:jc w:val="both"/>
        <w:rPr>
          <w:rFonts w:ascii="gobCL" w:eastAsia="Times New Roman" w:hAnsi="gobCL" w:cs="Calibri"/>
          <w:lang w:eastAsia="es-CL"/>
        </w:rPr>
      </w:pPr>
    </w:p>
    <w:p w14:paraId="544A764C" w14:textId="77777777" w:rsidR="00C440A2" w:rsidRDefault="00C440A2" w:rsidP="00004D99">
      <w:pPr>
        <w:spacing w:after="0" w:line="360" w:lineRule="auto"/>
        <w:jc w:val="both"/>
        <w:rPr>
          <w:rFonts w:ascii="gobCL" w:eastAsia="Times New Roman" w:hAnsi="gobCL" w:cs="Calibri"/>
          <w:lang w:eastAsia="es-CL"/>
        </w:rPr>
      </w:pPr>
    </w:p>
    <w:p w14:paraId="58B1008A" w14:textId="2DA1CEDE" w:rsidR="00BF4DA5" w:rsidRPr="009C779C" w:rsidRDefault="00BF4DA5">
      <w:pPr>
        <w:pStyle w:val="Ttulo1"/>
        <w:numPr>
          <w:ilvl w:val="0"/>
          <w:numId w:val="2"/>
        </w:numPr>
        <w:spacing w:before="0" w:line="360" w:lineRule="auto"/>
        <w:rPr>
          <w:rFonts w:ascii="gobCL" w:eastAsia="Times New Roman" w:hAnsi="gobCL"/>
          <w:b/>
          <w:bCs/>
          <w:color w:val="0070C0"/>
          <w:lang w:eastAsia="es-CL"/>
        </w:rPr>
      </w:pPr>
      <w:bookmarkStart w:id="2" w:name="_Toc115441220"/>
      <w:r w:rsidRPr="009C779C">
        <w:rPr>
          <w:rFonts w:ascii="gobCL" w:eastAsia="Times New Roman" w:hAnsi="gobCL"/>
          <w:b/>
          <w:bCs/>
          <w:color w:val="0070C0"/>
          <w:lang w:eastAsia="es-CL"/>
        </w:rPr>
        <w:t>OBJETIVO DEL REPORTE</w:t>
      </w:r>
      <w:bookmarkEnd w:id="2"/>
    </w:p>
    <w:p w14:paraId="118E8F68" w14:textId="77777777" w:rsidR="00D92571" w:rsidRPr="009C779C" w:rsidRDefault="00D92571" w:rsidP="00761BAB">
      <w:pPr>
        <w:spacing w:after="0" w:line="360" w:lineRule="auto"/>
        <w:jc w:val="both"/>
        <w:rPr>
          <w:rFonts w:ascii="gobCL" w:eastAsia="Times New Roman" w:hAnsi="gobCL" w:cs="Calibri"/>
          <w:lang w:eastAsia="es-CL"/>
        </w:rPr>
      </w:pPr>
    </w:p>
    <w:p w14:paraId="4303CEDE" w14:textId="69BADEEC" w:rsidR="00BF4DA5" w:rsidRPr="003241A2" w:rsidRDefault="00631E79" w:rsidP="00761BAB">
      <w:pPr>
        <w:spacing w:after="0" w:line="360" w:lineRule="auto"/>
        <w:jc w:val="both"/>
        <w:rPr>
          <w:rFonts w:ascii="gobCL" w:eastAsia="Times New Roman" w:hAnsi="gobCL" w:cs="Calibri"/>
          <w:lang w:eastAsia="es-CL"/>
        </w:rPr>
      </w:pPr>
      <w:r w:rsidRPr="009C779C">
        <w:rPr>
          <w:rFonts w:ascii="gobCL" w:eastAsia="Times New Roman" w:hAnsi="gobCL" w:cs="Calibri"/>
          <w:lang w:eastAsia="es-CL"/>
        </w:rPr>
        <w:t xml:space="preserve">Describir la situación epidemiológica de viruela del mono en Chile, en base a datos disponibles hasta el </w:t>
      </w:r>
      <w:r w:rsidR="00E42A28" w:rsidRPr="009C779C">
        <w:rPr>
          <w:rFonts w:ascii="gobCL" w:eastAsia="Times New Roman" w:hAnsi="gobCL" w:cs="Calibri"/>
          <w:lang w:eastAsia="es-CL"/>
        </w:rPr>
        <w:t>13</w:t>
      </w:r>
      <w:r w:rsidR="00B84DD6" w:rsidRPr="009C779C">
        <w:rPr>
          <w:rFonts w:ascii="gobCL" w:eastAsia="Times New Roman" w:hAnsi="gobCL" w:cs="Calibri"/>
          <w:lang w:eastAsia="es-CL"/>
        </w:rPr>
        <w:t xml:space="preserve"> </w:t>
      </w:r>
      <w:r w:rsidRPr="009C779C">
        <w:rPr>
          <w:rFonts w:ascii="gobCL" w:eastAsia="Times New Roman" w:hAnsi="gobCL" w:cs="Calibri"/>
          <w:lang w:eastAsia="es-CL"/>
        </w:rPr>
        <w:t xml:space="preserve">de </w:t>
      </w:r>
      <w:r w:rsidR="005E19BB" w:rsidRPr="009C779C">
        <w:rPr>
          <w:rFonts w:ascii="gobCL" w:eastAsia="Times New Roman" w:hAnsi="gobCL" w:cs="Calibri"/>
          <w:lang w:eastAsia="es-CL"/>
        </w:rPr>
        <w:t>octubre</w:t>
      </w:r>
      <w:r w:rsidR="00B84DD6" w:rsidRPr="009C779C">
        <w:rPr>
          <w:rFonts w:ascii="gobCL" w:eastAsia="Times New Roman" w:hAnsi="gobCL" w:cs="Calibri"/>
          <w:lang w:eastAsia="es-CL"/>
        </w:rPr>
        <w:t xml:space="preserve"> </w:t>
      </w:r>
      <w:r w:rsidRPr="009C779C">
        <w:rPr>
          <w:rFonts w:ascii="gobCL" w:eastAsia="Times New Roman" w:hAnsi="gobCL" w:cs="Calibri"/>
          <w:lang w:eastAsia="es-CL"/>
        </w:rPr>
        <w:t xml:space="preserve">de 2022 a las </w:t>
      </w:r>
      <w:r w:rsidR="005E19BB" w:rsidRPr="009C779C">
        <w:rPr>
          <w:rFonts w:ascii="gobCL" w:eastAsia="Times New Roman" w:hAnsi="gobCL" w:cs="Calibri"/>
          <w:lang w:eastAsia="es-CL"/>
        </w:rPr>
        <w:t>12</w:t>
      </w:r>
      <w:r w:rsidRPr="009C779C">
        <w:rPr>
          <w:rFonts w:ascii="gobCL" w:eastAsia="Times New Roman" w:hAnsi="gobCL" w:cs="Calibri"/>
          <w:lang w:eastAsia="es-CL"/>
        </w:rPr>
        <w:t>:</w:t>
      </w:r>
      <w:r w:rsidR="005E19BB" w:rsidRPr="009C779C">
        <w:rPr>
          <w:rFonts w:ascii="gobCL" w:eastAsia="Times New Roman" w:hAnsi="gobCL" w:cs="Calibri"/>
          <w:lang w:eastAsia="es-CL"/>
        </w:rPr>
        <w:t>00</w:t>
      </w:r>
      <w:r w:rsidR="0053252F" w:rsidRPr="009C779C">
        <w:rPr>
          <w:rFonts w:ascii="gobCL" w:eastAsia="Times New Roman" w:hAnsi="gobCL" w:cs="Calibri"/>
          <w:lang w:eastAsia="es-CL"/>
        </w:rPr>
        <w:t xml:space="preserve"> </w:t>
      </w:r>
      <w:r w:rsidRPr="009C779C">
        <w:rPr>
          <w:rFonts w:ascii="gobCL" w:eastAsia="Times New Roman" w:hAnsi="gobCL" w:cs="Calibri"/>
          <w:lang w:eastAsia="es-CL"/>
        </w:rPr>
        <w:t>h</w:t>
      </w:r>
      <w:r w:rsidR="00761BAB" w:rsidRPr="009C779C">
        <w:rPr>
          <w:rFonts w:ascii="gobCL" w:eastAsia="Times New Roman" w:hAnsi="gobCL" w:cs="Calibri"/>
          <w:lang w:eastAsia="es-CL"/>
        </w:rPr>
        <w:t>o</w:t>
      </w:r>
      <w:r w:rsidRPr="009C779C">
        <w:rPr>
          <w:rFonts w:ascii="gobCL" w:eastAsia="Times New Roman" w:hAnsi="gobCL" w:cs="Calibri"/>
          <w:lang w:eastAsia="es-CL"/>
        </w:rPr>
        <w:t>r</w:t>
      </w:r>
      <w:r w:rsidR="00761BAB" w:rsidRPr="009C779C">
        <w:rPr>
          <w:rFonts w:ascii="gobCL" w:eastAsia="Times New Roman" w:hAnsi="gobCL" w:cs="Calibri"/>
          <w:lang w:eastAsia="es-CL"/>
        </w:rPr>
        <w:t>a</w:t>
      </w:r>
      <w:r w:rsidRPr="009C779C">
        <w:rPr>
          <w:rFonts w:ascii="gobCL" w:eastAsia="Times New Roman" w:hAnsi="gobCL" w:cs="Calibri"/>
          <w:lang w:eastAsia="es-CL"/>
        </w:rPr>
        <w:t>s.</w:t>
      </w:r>
      <w:r w:rsidRPr="003241A2">
        <w:rPr>
          <w:rFonts w:ascii="gobCL" w:eastAsia="Times New Roman" w:hAnsi="gobCL" w:cs="Calibri"/>
          <w:lang w:eastAsia="es-CL"/>
        </w:rPr>
        <w:t xml:space="preserve"> </w:t>
      </w:r>
    </w:p>
    <w:p w14:paraId="1C5CA1F3" w14:textId="384924FF" w:rsidR="00D75AAC" w:rsidRPr="003241A2" w:rsidRDefault="00D75AAC">
      <w:pPr>
        <w:rPr>
          <w:rFonts w:ascii="gobCL" w:eastAsia="Times New Roman" w:hAnsi="gobCL" w:cs="Calibri"/>
          <w:b/>
          <w:bCs/>
          <w:lang w:eastAsia="es-CL"/>
        </w:rPr>
      </w:pPr>
      <w:r w:rsidRPr="003241A2">
        <w:rPr>
          <w:rFonts w:ascii="gobCL" w:eastAsia="Times New Roman" w:hAnsi="gobCL" w:cs="Calibri"/>
          <w:b/>
          <w:bCs/>
          <w:lang w:eastAsia="es-CL"/>
        </w:rPr>
        <w:br w:type="page"/>
      </w:r>
    </w:p>
    <w:p w14:paraId="6B4D7C53" w14:textId="3754A5CB" w:rsidR="00BF4DA5" w:rsidRPr="009A5235" w:rsidRDefault="00BF4DA5">
      <w:pPr>
        <w:pStyle w:val="Ttulo1"/>
        <w:numPr>
          <w:ilvl w:val="0"/>
          <w:numId w:val="2"/>
        </w:numPr>
        <w:spacing w:before="0" w:line="360" w:lineRule="auto"/>
        <w:rPr>
          <w:rFonts w:ascii="gobCL" w:eastAsia="Times New Roman" w:hAnsi="gobCL"/>
          <w:b/>
          <w:bCs/>
          <w:color w:val="0070C0"/>
          <w:lang w:eastAsia="es-CL"/>
        </w:rPr>
      </w:pPr>
      <w:bookmarkStart w:id="3" w:name="_Toc115441221"/>
      <w:r w:rsidRPr="009A5235">
        <w:rPr>
          <w:rFonts w:ascii="gobCL" w:eastAsia="Times New Roman" w:hAnsi="gobCL"/>
          <w:b/>
          <w:bCs/>
          <w:color w:val="0070C0"/>
          <w:lang w:eastAsia="es-CL"/>
        </w:rPr>
        <w:lastRenderedPageBreak/>
        <w:t>ANTECEDENTES</w:t>
      </w:r>
      <w:bookmarkEnd w:id="3"/>
    </w:p>
    <w:p w14:paraId="62AB8B04" w14:textId="77777777" w:rsidR="00D92571" w:rsidRPr="009A5235" w:rsidRDefault="00D92571" w:rsidP="00761BAB">
      <w:pPr>
        <w:spacing w:after="0" w:line="360" w:lineRule="auto"/>
        <w:jc w:val="both"/>
        <w:rPr>
          <w:rFonts w:ascii="gobCL" w:eastAsia="Times New Roman" w:hAnsi="gobCL" w:cs="Calibri"/>
          <w:lang w:eastAsia="es-CL"/>
        </w:rPr>
      </w:pPr>
    </w:p>
    <w:p w14:paraId="1102F472" w14:textId="60801748" w:rsidR="00717EFC" w:rsidRPr="00F94006" w:rsidRDefault="00717EFC" w:rsidP="00761BAB">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 xml:space="preserve">Desde el 13 de mayo de 2022, la Organización Mundial de la Salud (OMS) alertó a los países sobre el aumento de casos de viruela del mono, una enfermedad exantemática de origen zoonótico originaria de las regiones centrales y occidentales de África que, de manera inusitada, ha estado circulando en países no endémicos, principalmente en Europa y posteriormente en el resto de los continentes. La OMS reportó al </w:t>
      </w:r>
      <w:r w:rsidR="00A66045" w:rsidRPr="00F94006">
        <w:rPr>
          <w:rFonts w:ascii="gobCL" w:eastAsia="Times New Roman" w:hAnsi="gobCL" w:cs="Calibri"/>
          <w:lang w:eastAsia="es-CL"/>
        </w:rPr>
        <w:t>12</w:t>
      </w:r>
      <w:r w:rsidR="00B84DD6" w:rsidRPr="00F94006">
        <w:rPr>
          <w:rFonts w:ascii="gobCL" w:eastAsia="Times New Roman" w:hAnsi="gobCL" w:cs="Calibri"/>
          <w:lang w:eastAsia="es-CL"/>
        </w:rPr>
        <w:t xml:space="preserve"> </w:t>
      </w:r>
      <w:r w:rsidRPr="00F94006">
        <w:rPr>
          <w:rFonts w:ascii="gobCL" w:eastAsia="Times New Roman" w:hAnsi="gobCL" w:cs="Calibri"/>
          <w:lang w:eastAsia="es-CL"/>
        </w:rPr>
        <w:t xml:space="preserve">de </w:t>
      </w:r>
      <w:r w:rsidR="00A615BC" w:rsidRPr="00F94006">
        <w:rPr>
          <w:rFonts w:ascii="gobCL" w:eastAsia="Times New Roman" w:hAnsi="gobCL" w:cs="Calibri"/>
          <w:lang w:eastAsia="es-CL"/>
        </w:rPr>
        <w:t>octubre</w:t>
      </w:r>
      <w:r w:rsidRPr="00F94006">
        <w:rPr>
          <w:rFonts w:ascii="gobCL" w:eastAsia="Times New Roman" w:hAnsi="gobCL" w:cs="Calibri"/>
          <w:lang w:eastAsia="es-CL"/>
        </w:rPr>
        <w:t xml:space="preserve"> un total de </w:t>
      </w:r>
      <w:r w:rsidR="00A66045" w:rsidRPr="00F94006">
        <w:rPr>
          <w:rFonts w:ascii="gobCL" w:eastAsia="Times New Roman" w:hAnsi="gobCL" w:cs="Calibri"/>
          <w:lang w:eastAsia="es-CL"/>
        </w:rPr>
        <w:t>72.198</w:t>
      </w:r>
      <w:r w:rsidRPr="00F94006">
        <w:rPr>
          <w:rFonts w:ascii="gobCL" w:eastAsia="Times New Roman" w:hAnsi="gobCL" w:cs="Calibri"/>
          <w:lang w:eastAsia="es-CL"/>
        </w:rPr>
        <w:t xml:space="preserve"> casos confirmados en </w:t>
      </w:r>
      <w:r w:rsidR="00B84DD6" w:rsidRPr="00F94006">
        <w:rPr>
          <w:rFonts w:ascii="gobCL" w:eastAsia="Times New Roman" w:hAnsi="gobCL" w:cs="Calibri"/>
          <w:lang w:eastAsia="es-CL"/>
        </w:rPr>
        <w:t>10</w:t>
      </w:r>
      <w:r w:rsidR="00A66045" w:rsidRPr="00F94006">
        <w:rPr>
          <w:rFonts w:ascii="gobCL" w:eastAsia="Times New Roman" w:hAnsi="gobCL" w:cs="Calibri"/>
          <w:lang w:eastAsia="es-CL"/>
        </w:rPr>
        <w:t>9</w:t>
      </w:r>
      <w:r w:rsidR="00B84DD6" w:rsidRPr="00F94006">
        <w:rPr>
          <w:rFonts w:ascii="gobCL" w:eastAsia="Times New Roman" w:hAnsi="gobCL" w:cs="Calibri"/>
          <w:lang w:eastAsia="es-CL"/>
        </w:rPr>
        <w:t xml:space="preserve"> </w:t>
      </w:r>
      <w:r w:rsidRPr="00F94006">
        <w:rPr>
          <w:rFonts w:ascii="gobCL" w:eastAsia="Times New Roman" w:hAnsi="gobCL" w:cs="Calibri"/>
          <w:lang w:eastAsia="es-CL"/>
        </w:rPr>
        <w:t>países. Por su parte los Centers for Disease Control and Prevention (CDC) estim</w:t>
      </w:r>
      <w:r w:rsidR="00FA36AA" w:rsidRPr="00F94006">
        <w:rPr>
          <w:rFonts w:ascii="gobCL" w:eastAsia="Times New Roman" w:hAnsi="gobCL" w:cs="Calibri"/>
          <w:lang w:eastAsia="es-CL"/>
        </w:rPr>
        <w:t>aron</w:t>
      </w:r>
      <w:r w:rsidRPr="00F94006">
        <w:rPr>
          <w:rFonts w:ascii="gobCL" w:eastAsia="Times New Roman" w:hAnsi="gobCL" w:cs="Calibri"/>
          <w:lang w:eastAsia="es-CL"/>
        </w:rPr>
        <w:t xml:space="preserve"> </w:t>
      </w:r>
      <w:r w:rsidR="00F7283D" w:rsidRPr="00F94006">
        <w:rPr>
          <w:rFonts w:ascii="gobCL" w:eastAsia="Times New Roman" w:hAnsi="gobCL" w:cs="Calibri"/>
          <w:lang w:eastAsia="es-CL"/>
        </w:rPr>
        <w:t>72.874</w:t>
      </w:r>
      <w:r w:rsidRPr="00F94006">
        <w:rPr>
          <w:rFonts w:ascii="gobCL" w:eastAsia="Times New Roman" w:hAnsi="gobCL" w:cs="Calibri"/>
          <w:lang w:eastAsia="es-CL"/>
        </w:rPr>
        <w:t xml:space="preserve"> casos al </w:t>
      </w:r>
      <w:r w:rsidR="00F7283D" w:rsidRPr="00F94006">
        <w:rPr>
          <w:rFonts w:ascii="gobCL" w:eastAsia="Times New Roman" w:hAnsi="gobCL" w:cs="Calibri"/>
          <w:lang w:eastAsia="es-CL"/>
        </w:rPr>
        <w:t>13</w:t>
      </w:r>
      <w:r w:rsidR="00FA36AA" w:rsidRPr="00F94006">
        <w:rPr>
          <w:rFonts w:ascii="gobCL" w:eastAsia="Times New Roman" w:hAnsi="gobCL" w:cs="Calibri"/>
          <w:lang w:eastAsia="es-CL"/>
        </w:rPr>
        <w:t xml:space="preserve"> </w:t>
      </w:r>
      <w:r w:rsidRPr="00F94006">
        <w:rPr>
          <w:rFonts w:ascii="gobCL" w:eastAsia="Times New Roman" w:hAnsi="gobCL" w:cs="Calibri"/>
          <w:lang w:eastAsia="es-CL"/>
        </w:rPr>
        <w:t xml:space="preserve">de </w:t>
      </w:r>
      <w:r w:rsidR="00C12657" w:rsidRPr="00F94006">
        <w:rPr>
          <w:rFonts w:ascii="gobCL" w:eastAsia="Times New Roman" w:hAnsi="gobCL" w:cs="Calibri"/>
          <w:lang w:eastAsia="es-CL"/>
        </w:rPr>
        <w:t>octubre</w:t>
      </w:r>
      <w:r w:rsidRPr="00F94006">
        <w:rPr>
          <w:rFonts w:ascii="gobCL" w:eastAsia="Times New Roman" w:hAnsi="gobCL" w:cs="Calibri"/>
          <w:lang w:eastAsia="es-CL"/>
        </w:rPr>
        <w:t xml:space="preserve"> en </w:t>
      </w:r>
      <w:r w:rsidR="00D0070C" w:rsidRPr="00F94006">
        <w:rPr>
          <w:rFonts w:ascii="gobCL" w:eastAsia="Times New Roman" w:hAnsi="gobCL" w:cs="Calibri"/>
          <w:lang w:eastAsia="es-CL"/>
        </w:rPr>
        <w:t>10</w:t>
      </w:r>
      <w:r w:rsidR="00F7283D" w:rsidRPr="00F94006">
        <w:rPr>
          <w:rFonts w:ascii="gobCL" w:eastAsia="Times New Roman" w:hAnsi="gobCL" w:cs="Calibri"/>
          <w:lang w:eastAsia="es-CL"/>
        </w:rPr>
        <w:t>9</w:t>
      </w:r>
      <w:r w:rsidR="00FA36AA" w:rsidRPr="00F94006">
        <w:rPr>
          <w:rFonts w:ascii="gobCL" w:eastAsia="Times New Roman" w:hAnsi="gobCL" w:cs="Calibri"/>
          <w:lang w:eastAsia="es-CL"/>
        </w:rPr>
        <w:t xml:space="preserve"> </w:t>
      </w:r>
      <w:r w:rsidR="00655C37" w:rsidRPr="00F94006">
        <w:rPr>
          <w:rFonts w:ascii="gobCL" w:eastAsia="Times New Roman" w:hAnsi="gobCL" w:cs="Calibri"/>
          <w:lang w:eastAsia="es-CL"/>
        </w:rPr>
        <w:t>países</w:t>
      </w:r>
      <w:r w:rsidRPr="00F94006">
        <w:rPr>
          <w:rFonts w:ascii="gobCL" w:eastAsia="Times New Roman" w:hAnsi="gobCL" w:cs="Calibri"/>
          <w:lang w:eastAsia="es-CL"/>
        </w:rPr>
        <w:t>.</w:t>
      </w:r>
    </w:p>
    <w:p w14:paraId="39686180" w14:textId="77777777" w:rsidR="00717EFC" w:rsidRPr="00F94006" w:rsidRDefault="00717EFC" w:rsidP="00761BAB">
      <w:pPr>
        <w:spacing w:after="0" w:line="360" w:lineRule="auto"/>
        <w:jc w:val="both"/>
        <w:rPr>
          <w:rFonts w:ascii="gobCL" w:eastAsia="Times New Roman" w:hAnsi="gobCL" w:cs="Calibri"/>
          <w:lang w:eastAsia="es-CL"/>
        </w:rPr>
      </w:pPr>
    </w:p>
    <w:p w14:paraId="74714C28" w14:textId="77777777" w:rsidR="00717EFC" w:rsidRPr="00F94006" w:rsidRDefault="00717EFC" w:rsidP="00761BAB">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 xml:space="preserve">En los países recientemente afectados se han confirmado casos principalmente, entre hombres que se identifican a sí mismos como participantes en actividades de redes sexuales extendidas. </w:t>
      </w:r>
    </w:p>
    <w:p w14:paraId="39838082" w14:textId="5B13F552" w:rsidR="00717EFC" w:rsidRPr="00F94006" w:rsidRDefault="00717EFC" w:rsidP="00761BAB">
      <w:pPr>
        <w:spacing w:after="0" w:line="360" w:lineRule="auto"/>
        <w:jc w:val="both"/>
        <w:rPr>
          <w:rFonts w:ascii="gobCL" w:eastAsia="Times New Roman" w:hAnsi="gobCL" w:cs="Calibri"/>
          <w:lang w:eastAsia="es-CL"/>
        </w:rPr>
      </w:pPr>
    </w:p>
    <w:p w14:paraId="04E5DD50" w14:textId="5FD68A1E" w:rsidR="00717EFC" w:rsidRPr="00F94006" w:rsidRDefault="008D684E" w:rsidP="00761BAB">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La</w:t>
      </w:r>
      <w:r w:rsidR="00717EFC" w:rsidRPr="00F94006">
        <w:rPr>
          <w:rFonts w:ascii="gobCL" w:eastAsia="Times New Roman" w:hAnsi="gobCL" w:cs="Calibri"/>
          <w:lang w:eastAsia="es-CL"/>
        </w:rPr>
        <w:t xml:space="preserve"> presentación clínica de los casos de viruela del mono asociados con este brote ha sido variable. Muchos casos en este brote no se presentan con el cuadro clínico descrito clásicamente para la viruela del mono (fiebre, ganglios linfáticos inflamados, seguido de erupción cutánea concentrada en la cara y las extremidades). Las características atípicas descritas incluyen: presentación de solo unas pocas lesiones o incluso de una sola lesión; lesiones que comienzan en el área genital o perineal/perianal y no se extienden más; lesiones que aparecen en diferentes etapas (asincrónicas) de desarrollo; y la aparición de lesiones antes de la aparición de ganglios linfáticos inflamados, fiebre, malestar general u otros síntomas. </w:t>
      </w:r>
    </w:p>
    <w:p w14:paraId="0167F0A0" w14:textId="77777777" w:rsidR="00717EFC" w:rsidRPr="00F94006" w:rsidRDefault="00717EFC" w:rsidP="00761BAB">
      <w:pPr>
        <w:spacing w:after="0" w:line="360" w:lineRule="auto"/>
        <w:jc w:val="both"/>
        <w:rPr>
          <w:rFonts w:ascii="gobCL" w:eastAsia="Times New Roman" w:hAnsi="gobCL" w:cs="Calibri"/>
          <w:lang w:eastAsia="es-CL"/>
        </w:rPr>
      </w:pPr>
    </w:p>
    <w:p w14:paraId="58A3A565" w14:textId="270E651E" w:rsidR="00D75AAC" w:rsidRPr="003241A2" w:rsidRDefault="00717EFC" w:rsidP="006C49D5">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 xml:space="preserve">Si bien se sabe que el contacto físico cercano es una conducta de riesgo que puede conducir a la transmisión, no está claro </w:t>
      </w:r>
      <w:r w:rsidR="00893421" w:rsidRPr="00F94006">
        <w:rPr>
          <w:rFonts w:ascii="gobCL" w:eastAsia="Times New Roman" w:hAnsi="gobCL" w:cs="Calibri"/>
          <w:lang w:eastAsia="es-CL"/>
        </w:rPr>
        <w:t xml:space="preserve">si </w:t>
      </w:r>
      <w:r w:rsidRPr="00F94006">
        <w:rPr>
          <w:rFonts w:ascii="gobCL" w:eastAsia="Times New Roman" w:hAnsi="gobCL" w:cs="Calibri"/>
          <w:lang w:eastAsia="es-CL"/>
        </w:rPr>
        <w:t xml:space="preserve">los fluidos corporales sexuales, incluidos el semen y los fluidos vaginales, </w:t>
      </w:r>
      <w:r w:rsidR="00893421" w:rsidRPr="00F94006">
        <w:rPr>
          <w:rFonts w:ascii="gobCL" w:eastAsia="Times New Roman" w:hAnsi="gobCL" w:cs="Calibri"/>
          <w:lang w:eastAsia="es-CL"/>
        </w:rPr>
        <w:t xml:space="preserve">participan </w:t>
      </w:r>
      <w:r w:rsidRPr="00F94006">
        <w:rPr>
          <w:rFonts w:ascii="gobCL" w:eastAsia="Times New Roman" w:hAnsi="gobCL" w:cs="Calibri"/>
          <w:lang w:eastAsia="es-CL"/>
        </w:rPr>
        <w:t>en la transmisión.</w:t>
      </w:r>
    </w:p>
    <w:p w14:paraId="75330C5F" w14:textId="3520B167" w:rsidR="00BE5B09" w:rsidRPr="003241A2" w:rsidRDefault="00BE5B09" w:rsidP="00761BAB">
      <w:pPr>
        <w:spacing w:after="0" w:line="360" w:lineRule="auto"/>
        <w:jc w:val="both"/>
        <w:rPr>
          <w:rFonts w:ascii="gobCL" w:eastAsia="Times New Roman" w:hAnsi="gobCL" w:cs="Calibri"/>
          <w:b/>
          <w:bCs/>
          <w:lang w:eastAsia="es-CL"/>
        </w:rPr>
      </w:pPr>
    </w:p>
    <w:p w14:paraId="66C4CE1C" w14:textId="0CE4D22C" w:rsidR="003576C0" w:rsidRPr="003241A2" w:rsidRDefault="003576C0" w:rsidP="00761BAB">
      <w:pPr>
        <w:spacing w:after="0" w:line="360" w:lineRule="auto"/>
        <w:rPr>
          <w:rFonts w:ascii="gobCL" w:eastAsia="Times New Roman" w:hAnsi="gobCL" w:cstheme="majorBidi"/>
          <w:b/>
          <w:bCs/>
          <w:color w:val="0070C0"/>
          <w:sz w:val="32"/>
          <w:szCs w:val="32"/>
          <w:lang w:eastAsia="es-CL"/>
        </w:rPr>
      </w:pPr>
      <w:r w:rsidRPr="003241A2">
        <w:rPr>
          <w:rFonts w:ascii="gobCL" w:eastAsia="Times New Roman" w:hAnsi="gobCL"/>
          <w:b/>
          <w:bCs/>
          <w:color w:val="0070C0"/>
          <w:lang w:eastAsia="es-CL"/>
        </w:rPr>
        <w:br w:type="page"/>
      </w:r>
    </w:p>
    <w:p w14:paraId="4ACF5006" w14:textId="3057DEBF" w:rsidR="00BF4DA5" w:rsidRPr="006B5480" w:rsidRDefault="00BF4DA5">
      <w:pPr>
        <w:pStyle w:val="Ttulo1"/>
        <w:numPr>
          <w:ilvl w:val="0"/>
          <w:numId w:val="2"/>
        </w:numPr>
        <w:spacing w:before="0" w:line="360" w:lineRule="auto"/>
        <w:rPr>
          <w:rFonts w:ascii="gobCL" w:eastAsia="Times New Roman" w:hAnsi="gobCL"/>
          <w:b/>
          <w:bCs/>
          <w:color w:val="0070C0"/>
          <w:lang w:eastAsia="es-CL"/>
        </w:rPr>
      </w:pPr>
      <w:bookmarkStart w:id="4" w:name="_Toc115441222"/>
      <w:r w:rsidRPr="006B5480">
        <w:rPr>
          <w:rFonts w:ascii="gobCL" w:eastAsia="Times New Roman" w:hAnsi="gobCL"/>
          <w:b/>
          <w:bCs/>
          <w:color w:val="0070C0"/>
          <w:lang w:eastAsia="es-CL"/>
        </w:rPr>
        <w:lastRenderedPageBreak/>
        <w:t>MÉTODO</w:t>
      </w:r>
      <w:bookmarkEnd w:id="4"/>
    </w:p>
    <w:p w14:paraId="4272CC60" w14:textId="77777777" w:rsidR="00D92571" w:rsidRPr="006B5480" w:rsidRDefault="00D92571" w:rsidP="00761BAB">
      <w:pPr>
        <w:spacing w:after="0" w:line="360" w:lineRule="auto"/>
        <w:jc w:val="both"/>
        <w:rPr>
          <w:rFonts w:ascii="gobCL" w:eastAsia="Times New Roman" w:hAnsi="gobCL" w:cs="Calibri"/>
          <w:lang w:eastAsia="es-CL"/>
        </w:rPr>
      </w:pPr>
    </w:p>
    <w:p w14:paraId="0AF5E94C" w14:textId="01D414F9" w:rsidR="007E2F98" w:rsidRPr="00F94006" w:rsidRDefault="00F77F18" w:rsidP="00761BAB">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 xml:space="preserve">Se realizó un análisis descriptivo de los casos notificados en Chile con diagnóstico de </w:t>
      </w:r>
      <w:r w:rsidR="001605CE" w:rsidRPr="00F94006">
        <w:rPr>
          <w:rFonts w:ascii="gobCL" w:eastAsia="Times New Roman" w:hAnsi="gobCL" w:cs="Calibri"/>
          <w:lang w:eastAsia="es-CL"/>
        </w:rPr>
        <w:t>viruela del mono</w:t>
      </w:r>
      <w:r w:rsidRPr="00F94006">
        <w:rPr>
          <w:rFonts w:ascii="gobCL" w:eastAsia="Times New Roman" w:hAnsi="gobCL" w:cs="Calibri"/>
          <w:lang w:eastAsia="es-CL"/>
        </w:rPr>
        <w:t xml:space="preserve"> hasta el </w:t>
      </w:r>
      <w:r w:rsidR="00C4409E" w:rsidRPr="00F94006">
        <w:rPr>
          <w:rFonts w:ascii="gobCL" w:eastAsia="Times New Roman" w:hAnsi="gobCL" w:cs="Calibri"/>
          <w:lang w:eastAsia="es-CL"/>
        </w:rPr>
        <w:t>13</w:t>
      </w:r>
      <w:r w:rsidR="001605CE" w:rsidRPr="00F94006">
        <w:rPr>
          <w:rFonts w:ascii="gobCL" w:eastAsia="Times New Roman" w:hAnsi="gobCL" w:cs="Calibri"/>
          <w:lang w:eastAsia="es-CL"/>
        </w:rPr>
        <w:t xml:space="preserve"> de </w:t>
      </w:r>
      <w:r w:rsidR="00BE092E" w:rsidRPr="00F94006">
        <w:rPr>
          <w:rFonts w:ascii="gobCL" w:eastAsia="Times New Roman" w:hAnsi="gobCL" w:cs="Calibri"/>
          <w:lang w:eastAsia="es-CL"/>
        </w:rPr>
        <w:t>octubre</w:t>
      </w:r>
      <w:r w:rsidR="001605CE" w:rsidRPr="00F94006">
        <w:rPr>
          <w:rFonts w:ascii="gobCL" w:eastAsia="Times New Roman" w:hAnsi="gobCL" w:cs="Calibri"/>
          <w:lang w:eastAsia="es-CL"/>
        </w:rPr>
        <w:t xml:space="preserve"> de 2022</w:t>
      </w:r>
      <w:r w:rsidRPr="00F94006">
        <w:rPr>
          <w:rFonts w:ascii="gobCL" w:eastAsia="Times New Roman" w:hAnsi="gobCL" w:cs="Calibri"/>
          <w:lang w:eastAsia="es-CL"/>
        </w:rPr>
        <w:t>. Para su elaboración se utilizó</w:t>
      </w:r>
      <w:r w:rsidR="00BA629F" w:rsidRPr="00F94006">
        <w:rPr>
          <w:rFonts w:ascii="gobCL" w:eastAsia="Times New Roman" w:hAnsi="gobCL" w:cs="Calibri"/>
          <w:lang w:eastAsia="es-CL"/>
        </w:rPr>
        <w:t xml:space="preserve"> la información proveniente de:</w:t>
      </w:r>
    </w:p>
    <w:p w14:paraId="11944E0F" w14:textId="5737EBF2" w:rsidR="00F77F18" w:rsidRPr="00F94006" w:rsidRDefault="00F77F18">
      <w:pPr>
        <w:pStyle w:val="Prrafodelista"/>
        <w:numPr>
          <w:ilvl w:val="0"/>
          <w:numId w:val="1"/>
        </w:numPr>
        <w:spacing w:after="0" w:line="360" w:lineRule="auto"/>
        <w:jc w:val="both"/>
        <w:rPr>
          <w:rFonts w:ascii="gobCL" w:eastAsia="Times New Roman" w:hAnsi="gobCL" w:cs="Calibri"/>
          <w:lang w:eastAsia="es-CL"/>
        </w:rPr>
      </w:pPr>
      <w:r w:rsidRPr="00F94006">
        <w:rPr>
          <w:rFonts w:ascii="gobCL" w:eastAsia="Times New Roman" w:hAnsi="gobCL" w:cs="Calibri"/>
          <w:lang w:eastAsia="es-CL"/>
        </w:rPr>
        <w:t>Base de</w:t>
      </w:r>
      <w:r w:rsidR="001605CE" w:rsidRPr="00F94006">
        <w:rPr>
          <w:rFonts w:ascii="gobCL" w:eastAsia="Times New Roman" w:hAnsi="gobCL" w:cs="Calibri"/>
          <w:lang w:eastAsia="es-CL"/>
        </w:rPr>
        <w:t xml:space="preserve"> resultados de laboratorio para PCR del Instituto de Salud Pública (ISP), al </w:t>
      </w:r>
      <w:r w:rsidR="00C4409E" w:rsidRPr="00F94006">
        <w:rPr>
          <w:rFonts w:ascii="gobCL" w:eastAsia="Times New Roman" w:hAnsi="gobCL" w:cs="Calibri"/>
          <w:lang w:eastAsia="es-CL"/>
        </w:rPr>
        <w:t>13</w:t>
      </w:r>
      <w:r w:rsidR="001605CE" w:rsidRPr="00F94006">
        <w:rPr>
          <w:rFonts w:ascii="gobCL" w:eastAsia="Times New Roman" w:hAnsi="gobCL" w:cs="Calibri"/>
          <w:lang w:eastAsia="es-CL"/>
        </w:rPr>
        <w:t xml:space="preserve"> de </w:t>
      </w:r>
      <w:r w:rsidR="00BE092E" w:rsidRPr="00F94006">
        <w:rPr>
          <w:rFonts w:ascii="gobCL" w:eastAsia="Times New Roman" w:hAnsi="gobCL" w:cs="Calibri"/>
          <w:lang w:eastAsia="es-CL"/>
        </w:rPr>
        <w:t>octubre</w:t>
      </w:r>
      <w:r w:rsidR="001605CE" w:rsidRPr="00F94006">
        <w:rPr>
          <w:rFonts w:ascii="gobCL" w:eastAsia="Times New Roman" w:hAnsi="gobCL" w:cs="Calibri"/>
          <w:lang w:eastAsia="es-CL"/>
        </w:rPr>
        <w:t xml:space="preserve"> de 2022</w:t>
      </w:r>
      <w:r w:rsidRPr="00F94006">
        <w:rPr>
          <w:rFonts w:ascii="gobCL" w:eastAsia="Times New Roman" w:hAnsi="gobCL" w:cs="Calibri"/>
          <w:lang w:eastAsia="es-CL"/>
        </w:rPr>
        <w:t>.</w:t>
      </w:r>
    </w:p>
    <w:p w14:paraId="22275569" w14:textId="606D95FF" w:rsidR="00F77F18" w:rsidRPr="00F94006" w:rsidRDefault="00F77F18">
      <w:pPr>
        <w:pStyle w:val="Prrafodelista"/>
        <w:numPr>
          <w:ilvl w:val="0"/>
          <w:numId w:val="1"/>
        </w:numPr>
        <w:spacing w:after="0" w:line="360" w:lineRule="auto"/>
        <w:jc w:val="both"/>
        <w:rPr>
          <w:rFonts w:ascii="gobCL" w:eastAsia="Times New Roman" w:hAnsi="gobCL" w:cs="Calibri"/>
          <w:lang w:eastAsia="es-CL"/>
        </w:rPr>
      </w:pPr>
      <w:r w:rsidRPr="00F94006">
        <w:rPr>
          <w:rFonts w:ascii="gobCL" w:eastAsia="Times New Roman" w:hAnsi="gobCL" w:cs="Calibri"/>
          <w:lang w:eastAsia="es-CL"/>
        </w:rPr>
        <w:t xml:space="preserve">Base de </w:t>
      </w:r>
      <w:r w:rsidR="001605CE" w:rsidRPr="00F94006">
        <w:rPr>
          <w:rFonts w:ascii="gobCL" w:eastAsia="Times New Roman" w:hAnsi="gobCL" w:cs="Calibri"/>
          <w:lang w:eastAsia="es-CL"/>
        </w:rPr>
        <w:t xml:space="preserve">casos notificados por viruela del mono </w:t>
      </w:r>
      <w:r w:rsidRPr="00F94006">
        <w:rPr>
          <w:rFonts w:ascii="gobCL" w:eastAsia="Times New Roman" w:hAnsi="gobCL" w:cs="Calibri"/>
          <w:lang w:eastAsia="es-CL"/>
        </w:rPr>
        <w:t xml:space="preserve">del Departamento de Epidemiología del Ministerio de Salud de Chile (MINSAL), </w:t>
      </w:r>
      <w:r w:rsidR="003A375B" w:rsidRPr="00F94006">
        <w:rPr>
          <w:rFonts w:ascii="gobCL" w:eastAsia="Times New Roman" w:hAnsi="gobCL" w:cs="Calibri"/>
          <w:lang w:eastAsia="es-CL"/>
        </w:rPr>
        <w:t xml:space="preserve">obtenida desde la plataforma Go.Data, </w:t>
      </w:r>
      <w:r w:rsidR="001605CE" w:rsidRPr="00F94006">
        <w:rPr>
          <w:rFonts w:ascii="gobCL" w:eastAsia="Times New Roman" w:hAnsi="gobCL" w:cs="Calibri"/>
          <w:lang w:eastAsia="es-CL"/>
        </w:rPr>
        <w:t xml:space="preserve">al </w:t>
      </w:r>
      <w:r w:rsidR="00C4409E" w:rsidRPr="00F94006">
        <w:rPr>
          <w:rFonts w:ascii="gobCL" w:eastAsia="Times New Roman" w:hAnsi="gobCL" w:cs="Calibri"/>
          <w:lang w:eastAsia="es-CL"/>
        </w:rPr>
        <w:t>13</w:t>
      </w:r>
      <w:r w:rsidR="00BE60D7" w:rsidRPr="00F94006">
        <w:rPr>
          <w:rFonts w:ascii="gobCL" w:eastAsia="Times New Roman" w:hAnsi="gobCL" w:cs="Calibri"/>
          <w:lang w:eastAsia="es-CL"/>
        </w:rPr>
        <w:t xml:space="preserve"> de </w:t>
      </w:r>
      <w:r w:rsidR="00BE092E" w:rsidRPr="00F94006">
        <w:rPr>
          <w:rFonts w:ascii="gobCL" w:eastAsia="Times New Roman" w:hAnsi="gobCL" w:cs="Calibri"/>
          <w:lang w:eastAsia="es-CL"/>
        </w:rPr>
        <w:t>octubre</w:t>
      </w:r>
      <w:r w:rsidR="00BE60D7" w:rsidRPr="00F94006">
        <w:rPr>
          <w:rFonts w:ascii="gobCL" w:eastAsia="Times New Roman" w:hAnsi="gobCL" w:cs="Calibri"/>
          <w:lang w:eastAsia="es-CL"/>
        </w:rPr>
        <w:t xml:space="preserve"> </w:t>
      </w:r>
      <w:r w:rsidR="001605CE" w:rsidRPr="00F94006">
        <w:rPr>
          <w:rFonts w:ascii="gobCL" w:eastAsia="Times New Roman" w:hAnsi="gobCL" w:cs="Calibri"/>
          <w:lang w:eastAsia="es-CL"/>
        </w:rPr>
        <w:t>de 2022</w:t>
      </w:r>
      <w:r w:rsidRPr="00F94006">
        <w:rPr>
          <w:rFonts w:ascii="gobCL" w:eastAsia="Times New Roman" w:hAnsi="gobCL" w:cs="Calibri"/>
          <w:lang w:eastAsia="es-CL"/>
        </w:rPr>
        <w:t>.</w:t>
      </w:r>
    </w:p>
    <w:p w14:paraId="10AB8C9F" w14:textId="1694A7B7" w:rsidR="002D291A" w:rsidRPr="00D20232" w:rsidRDefault="00DC34B5">
      <w:pPr>
        <w:pStyle w:val="Prrafodelista"/>
        <w:numPr>
          <w:ilvl w:val="0"/>
          <w:numId w:val="1"/>
        </w:numPr>
        <w:spacing w:after="0" w:line="360" w:lineRule="auto"/>
        <w:jc w:val="both"/>
        <w:rPr>
          <w:rFonts w:ascii="gobCL" w:eastAsia="Times New Roman" w:hAnsi="gobCL" w:cs="Calibri"/>
          <w:lang w:eastAsia="es-CL"/>
        </w:rPr>
      </w:pPr>
      <w:r w:rsidRPr="00D20232">
        <w:rPr>
          <w:rFonts w:ascii="gobCL" w:eastAsia="Times New Roman" w:hAnsi="gobCL" w:cs="Calibri"/>
          <w:lang w:eastAsia="es-CL"/>
        </w:rPr>
        <w:t xml:space="preserve">Base de ingresos y egresos de Residencia Sanitaria, al </w:t>
      </w:r>
      <w:r w:rsidR="00D20232" w:rsidRPr="00D20232">
        <w:rPr>
          <w:rFonts w:ascii="gobCL" w:eastAsia="Times New Roman" w:hAnsi="gobCL" w:cs="Calibri"/>
          <w:lang w:eastAsia="es-CL"/>
        </w:rPr>
        <w:t>13</w:t>
      </w:r>
      <w:r w:rsidR="00A36687" w:rsidRPr="00D20232">
        <w:rPr>
          <w:rFonts w:ascii="gobCL" w:eastAsia="Times New Roman" w:hAnsi="gobCL" w:cs="Calibri"/>
          <w:lang w:eastAsia="es-CL"/>
        </w:rPr>
        <w:t xml:space="preserve"> de octubre</w:t>
      </w:r>
      <w:r w:rsidRPr="00D20232">
        <w:rPr>
          <w:rFonts w:ascii="gobCL" w:eastAsia="Times New Roman" w:hAnsi="gobCL" w:cs="Calibri"/>
          <w:lang w:eastAsia="es-CL"/>
        </w:rPr>
        <w:t xml:space="preserve"> de 2022. </w:t>
      </w:r>
    </w:p>
    <w:p w14:paraId="5A045FE8" w14:textId="77777777" w:rsidR="00F77F18" w:rsidRPr="006B5480" w:rsidRDefault="00F77F18" w:rsidP="00761BAB">
      <w:pPr>
        <w:spacing w:after="0" w:line="360" w:lineRule="auto"/>
        <w:jc w:val="both"/>
        <w:rPr>
          <w:rFonts w:ascii="gobCL" w:eastAsia="Times New Roman" w:hAnsi="gobCL" w:cs="Calibri"/>
          <w:lang w:eastAsia="es-CL"/>
        </w:rPr>
      </w:pPr>
    </w:p>
    <w:p w14:paraId="74E01B0C" w14:textId="3AD7B168" w:rsidR="00F77F18" w:rsidRPr="00F94006" w:rsidRDefault="003A375B" w:rsidP="00761BAB">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Desde la base de ISP se obtuvo la información de situación epidemiológica (resumen nacional), curva epid</w:t>
      </w:r>
      <w:r w:rsidR="0022545D" w:rsidRPr="00F94006">
        <w:rPr>
          <w:rFonts w:ascii="gobCL" w:eastAsia="Times New Roman" w:hAnsi="gobCL" w:cs="Calibri"/>
          <w:lang w:eastAsia="es-CL"/>
        </w:rPr>
        <w:t>émica</w:t>
      </w:r>
      <w:r w:rsidRPr="00F94006">
        <w:rPr>
          <w:rFonts w:ascii="gobCL" w:eastAsia="Times New Roman" w:hAnsi="gobCL" w:cs="Calibri"/>
          <w:lang w:eastAsia="es-CL"/>
        </w:rPr>
        <w:t xml:space="preserve"> y situación regional. </w:t>
      </w:r>
      <w:r w:rsidR="00F57194" w:rsidRPr="00F94006">
        <w:rPr>
          <w:rFonts w:ascii="gobCL" w:eastAsia="Times New Roman" w:hAnsi="gobCL" w:cs="Calibri"/>
          <w:lang w:eastAsia="es-CL"/>
        </w:rPr>
        <w:t xml:space="preserve">La información de situación epidemiológica se complementó con base obtenida desde </w:t>
      </w:r>
      <w:r w:rsidR="006B5480" w:rsidRPr="00F94006">
        <w:rPr>
          <w:rFonts w:ascii="gobCL" w:eastAsia="Times New Roman" w:hAnsi="gobCL" w:cs="Calibri"/>
          <w:lang w:eastAsia="es-CL"/>
        </w:rPr>
        <w:t xml:space="preserve">el equipo de Gestión de </w:t>
      </w:r>
      <w:r w:rsidR="00F57194" w:rsidRPr="00F94006">
        <w:rPr>
          <w:rFonts w:ascii="gobCL" w:eastAsia="Times New Roman" w:hAnsi="gobCL" w:cs="Calibri"/>
          <w:lang w:eastAsia="es-CL"/>
        </w:rPr>
        <w:t>Residencia</w:t>
      </w:r>
      <w:r w:rsidR="006B5480" w:rsidRPr="00F94006">
        <w:rPr>
          <w:rFonts w:ascii="gobCL" w:eastAsia="Times New Roman" w:hAnsi="gobCL" w:cs="Calibri"/>
          <w:lang w:eastAsia="es-CL"/>
        </w:rPr>
        <w:t>s</w:t>
      </w:r>
      <w:r w:rsidR="00F57194" w:rsidRPr="00F94006">
        <w:rPr>
          <w:rFonts w:ascii="gobCL" w:eastAsia="Times New Roman" w:hAnsi="gobCL" w:cs="Calibri"/>
          <w:lang w:eastAsia="es-CL"/>
        </w:rPr>
        <w:t xml:space="preserve"> Sanitaria</w:t>
      </w:r>
      <w:r w:rsidR="006B5480" w:rsidRPr="00F94006">
        <w:rPr>
          <w:rFonts w:ascii="gobCL" w:eastAsia="Times New Roman" w:hAnsi="gobCL" w:cs="Calibri"/>
          <w:lang w:eastAsia="es-CL"/>
        </w:rPr>
        <w:t xml:space="preserve">s, Oficina de Testeo, Trazabilidad y Aislamiento del departamento de Epidemiología, </w:t>
      </w:r>
      <w:r w:rsidR="0022545D" w:rsidRPr="00F94006">
        <w:rPr>
          <w:rFonts w:ascii="gobCL" w:eastAsia="Times New Roman" w:hAnsi="gobCL" w:cs="Calibri"/>
          <w:lang w:eastAsia="es-CL"/>
        </w:rPr>
        <w:t>para identificar los casos que se encuentran aún en aislamiento y aquellos que se han dado de alta epidemiológica</w:t>
      </w:r>
      <w:r w:rsidR="00F57194" w:rsidRPr="00F94006">
        <w:rPr>
          <w:rFonts w:ascii="gobCL" w:eastAsia="Times New Roman" w:hAnsi="gobCL" w:cs="Calibri"/>
          <w:lang w:eastAsia="es-CL"/>
        </w:rPr>
        <w:t>.</w:t>
      </w:r>
      <w:r w:rsidR="0022545D" w:rsidRPr="00F94006">
        <w:rPr>
          <w:rFonts w:ascii="gobCL" w:eastAsia="Times New Roman" w:hAnsi="gobCL" w:cs="Calibri"/>
          <w:lang w:eastAsia="es-CL"/>
        </w:rPr>
        <w:t xml:space="preserve"> </w:t>
      </w:r>
      <w:r w:rsidRPr="00F94006">
        <w:rPr>
          <w:rFonts w:ascii="gobCL" w:eastAsia="Times New Roman" w:hAnsi="gobCL" w:cs="Calibri"/>
          <w:lang w:eastAsia="es-CL"/>
        </w:rPr>
        <w:t xml:space="preserve">Para la caracterización de los casos, factores de exposición y caracterización clínica se consideró solo los casos que contaban con una investigación epidemiológica completa, los cuales se encuentran </w:t>
      </w:r>
      <w:r w:rsidR="0022545D" w:rsidRPr="00F94006">
        <w:rPr>
          <w:rFonts w:ascii="gobCL" w:eastAsia="Times New Roman" w:hAnsi="gobCL" w:cs="Calibri"/>
          <w:lang w:eastAsia="es-CL"/>
        </w:rPr>
        <w:t xml:space="preserve">en </w:t>
      </w:r>
      <w:r w:rsidRPr="00F94006">
        <w:rPr>
          <w:rFonts w:ascii="gobCL" w:eastAsia="Times New Roman" w:hAnsi="gobCL" w:cs="Calibri"/>
          <w:lang w:eastAsia="es-CL"/>
        </w:rPr>
        <w:t>la base de casos notificados en Go.Data.</w:t>
      </w:r>
      <w:r w:rsidR="00E22440" w:rsidRPr="00F94006">
        <w:rPr>
          <w:rFonts w:ascii="gobCL" w:eastAsia="Times New Roman" w:hAnsi="gobCL" w:cs="Calibri"/>
          <w:lang w:eastAsia="es-CL"/>
        </w:rPr>
        <w:t xml:space="preserve"> </w:t>
      </w:r>
      <w:r w:rsidR="00F77F18" w:rsidRPr="00F94006">
        <w:rPr>
          <w:rFonts w:ascii="gobCL" w:eastAsia="Times New Roman" w:hAnsi="gobCL" w:cs="Calibri"/>
          <w:lang w:eastAsia="es-CL"/>
        </w:rPr>
        <w:t>Para la notificación se consider</w:t>
      </w:r>
      <w:r w:rsidR="006C1532" w:rsidRPr="00F94006">
        <w:rPr>
          <w:rFonts w:ascii="gobCL" w:eastAsia="Times New Roman" w:hAnsi="gobCL" w:cs="Calibri"/>
          <w:lang w:eastAsia="es-CL"/>
        </w:rPr>
        <w:t xml:space="preserve">aron las definiciones de caso </w:t>
      </w:r>
      <w:r w:rsidR="00F77F18" w:rsidRPr="00F94006">
        <w:rPr>
          <w:rFonts w:ascii="gobCL" w:eastAsia="Times New Roman" w:hAnsi="gobCL" w:cs="Calibri"/>
          <w:lang w:eastAsia="es-CL"/>
        </w:rPr>
        <w:t>descrita</w:t>
      </w:r>
      <w:r w:rsidR="006C1532" w:rsidRPr="00F94006">
        <w:rPr>
          <w:rFonts w:ascii="gobCL" w:eastAsia="Times New Roman" w:hAnsi="gobCL" w:cs="Calibri"/>
          <w:lang w:eastAsia="es-CL"/>
        </w:rPr>
        <w:t>s</w:t>
      </w:r>
      <w:r w:rsidR="00F77F18" w:rsidRPr="00F94006">
        <w:rPr>
          <w:rFonts w:ascii="gobCL" w:eastAsia="Times New Roman" w:hAnsi="gobCL" w:cs="Calibri"/>
          <w:lang w:eastAsia="es-CL"/>
        </w:rPr>
        <w:t xml:space="preserve"> en </w:t>
      </w:r>
      <w:r w:rsidR="008C0984" w:rsidRPr="00F94006">
        <w:rPr>
          <w:rFonts w:ascii="gobCL" w:eastAsia="Times New Roman" w:hAnsi="gobCL" w:cs="Calibri"/>
          <w:lang w:eastAsia="es-CL"/>
        </w:rPr>
        <w:t xml:space="preserve">Protocolo de vigilancia de epidemiológica de viruela del mono, aprobado por Resolución Exenta N°1162 </w:t>
      </w:r>
      <w:r w:rsidR="0022545D" w:rsidRPr="00F94006">
        <w:rPr>
          <w:rFonts w:ascii="gobCL" w:eastAsia="Times New Roman" w:hAnsi="gobCL" w:cs="Calibri"/>
          <w:lang w:eastAsia="es-CL"/>
        </w:rPr>
        <w:t xml:space="preserve"> del 24 de agosto de 2022 </w:t>
      </w:r>
      <w:r w:rsidR="003C13E7" w:rsidRPr="00F94006">
        <w:rPr>
          <w:rFonts w:ascii="gobCL" w:eastAsia="Times New Roman" w:hAnsi="gobCL" w:cs="Calibri"/>
          <w:lang w:eastAsia="es-CL"/>
        </w:rPr>
        <w:t>(</w:t>
      </w:r>
      <w:r w:rsidR="001605CE" w:rsidRPr="00F94006">
        <w:rPr>
          <w:rStyle w:val="Refdenotaalfinal"/>
          <w:rFonts w:ascii="gobCL" w:eastAsia="Times New Roman" w:hAnsi="gobCL" w:cs="Calibri"/>
          <w:vertAlign w:val="baseline"/>
          <w:lang w:eastAsia="es-CL"/>
        </w:rPr>
        <w:endnoteReference w:id="1"/>
      </w:r>
      <w:r w:rsidR="003C13E7" w:rsidRPr="00F94006">
        <w:rPr>
          <w:rFonts w:ascii="gobCL" w:eastAsia="Times New Roman" w:hAnsi="gobCL" w:cs="Calibri"/>
          <w:lang w:eastAsia="es-CL"/>
        </w:rPr>
        <w:t>)</w:t>
      </w:r>
      <w:r w:rsidR="001605CE" w:rsidRPr="00F94006">
        <w:rPr>
          <w:rFonts w:ascii="gobCL" w:eastAsia="Times New Roman" w:hAnsi="gobCL" w:cs="Calibri"/>
          <w:lang w:eastAsia="es-CL"/>
        </w:rPr>
        <w:t>.</w:t>
      </w:r>
    </w:p>
    <w:p w14:paraId="29651703" w14:textId="77777777" w:rsidR="00F77F18" w:rsidRPr="00F94006" w:rsidRDefault="00F77F18" w:rsidP="00761BAB">
      <w:pPr>
        <w:spacing w:after="0" w:line="360" w:lineRule="auto"/>
        <w:jc w:val="both"/>
        <w:rPr>
          <w:rFonts w:ascii="gobCL" w:eastAsia="Times New Roman" w:hAnsi="gobCL" w:cs="Calibri"/>
          <w:lang w:eastAsia="es-CL"/>
        </w:rPr>
      </w:pPr>
    </w:p>
    <w:p w14:paraId="17C26BFA" w14:textId="0455EA2D" w:rsidR="00F77F18" w:rsidRPr="00F94006" w:rsidRDefault="00F77F18" w:rsidP="00761BAB">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Se presentan indicadores por tiempo</w:t>
      </w:r>
      <w:r w:rsidR="00BE3181" w:rsidRPr="00F94006">
        <w:rPr>
          <w:rFonts w:ascii="gobCL" w:eastAsia="Times New Roman" w:hAnsi="gobCL" w:cs="Calibri"/>
          <w:lang w:eastAsia="es-CL"/>
        </w:rPr>
        <w:t xml:space="preserve">; </w:t>
      </w:r>
      <w:r w:rsidRPr="00F94006">
        <w:rPr>
          <w:rFonts w:ascii="gobCL" w:eastAsia="Times New Roman" w:hAnsi="gobCL" w:cs="Calibri"/>
          <w:lang w:eastAsia="es-CL"/>
        </w:rPr>
        <w:t xml:space="preserve">fecha de </w:t>
      </w:r>
      <w:r w:rsidR="00677593" w:rsidRPr="00F94006">
        <w:rPr>
          <w:rFonts w:ascii="gobCL" w:eastAsia="Times New Roman" w:hAnsi="gobCL" w:cs="Calibri"/>
          <w:lang w:eastAsia="es-CL"/>
        </w:rPr>
        <w:t>inicio de síntomas</w:t>
      </w:r>
      <w:r w:rsidR="00CB4F5F" w:rsidRPr="00F94006">
        <w:rPr>
          <w:rFonts w:ascii="gobCL" w:eastAsia="Times New Roman" w:hAnsi="gobCL" w:cs="Calibri"/>
          <w:lang w:eastAsia="es-CL"/>
        </w:rPr>
        <w:t xml:space="preserve">, </w:t>
      </w:r>
      <w:r w:rsidR="00677593" w:rsidRPr="00F94006">
        <w:rPr>
          <w:rFonts w:ascii="gobCL" w:eastAsia="Times New Roman" w:hAnsi="gobCL" w:cs="Calibri"/>
          <w:lang w:eastAsia="es-CL"/>
        </w:rPr>
        <w:t>toma de muestra</w:t>
      </w:r>
      <w:r w:rsidR="00CB4F5F" w:rsidRPr="00F94006">
        <w:rPr>
          <w:rFonts w:ascii="gobCL" w:eastAsia="Times New Roman" w:hAnsi="gobCL" w:cs="Calibri"/>
          <w:lang w:eastAsia="es-CL"/>
        </w:rPr>
        <w:t>, notificación</w:t>
      </w:r>
      <w:r w:rsidRPr="00F94006">
        <w:rPr>
          <w:rFonts w:ascii="gobCL" w:eastAsia="Times New Roman" w:hAnsi="gobCL" w:cs="Calibri"/>
          <w:lang w:eastAsia="es-CL"/>
        </w:rPr>
        <w:t>, lugar</w:t>
      </w:r>
      <w:r w:rsidR="00BE3181" w:rsidRPr="00F94006">
        <w:rPr>
          <w:rFonts w:ascii="gobCL" w:eastAsia="Times New Roman" w:hAnsi="gobCL" w:cs="Calibri"/>
          <w:lang w:eastAsia="es-CL"/>
        </w:rPr>
        <w:t>;</w:t>
      </w:r>
      <w:r w:rsidRPr="00F94006">
        <w:rPr>
          <w:rFonts w:ascii="gobCL" w:eastAsia="Times New Roman" w:hAnsi="gobCL" w:cs="Calibri"/>
          <w:lang w:eastAsia="es-CL"/>
        </w:rPr>
        <w:t xml:space="preserve"> región de </w:t>
      </w:r>
      <w:r w:rsidR="00677593" w:rsidRPr="00F94006">
        <w:rPr>
          <w:rFonts w:ascii="gobCL" w:eastAsia="Times New Roman" w:hAnsi="gobCL" w:cs="Calibri"/>
          <w:lang w:eastAsia="es-CL"/>
        </w:rPr>
        <w:t>residencia, notificación o toma de muestra</w:t>
      </w:r>
      <w:r w:rsidR="00BE3181" w:rsidRPr="00F94006">
        <w:rPr>
          <w:rFonts w:ascii="gobCL" w:eastAsia="Times New Roman" w:hAnsi="gobCL" w:cs="Calibri"/>
          <w:lang w:eastAsia="es-CL"/>
        </w:rPr>
        <w:t xml:space="preserve"> y comuna de residencia, notificación o toma de muestra para la región Metropolitana</w:t>
      </w:r>
      <w:r w:rsidRPr="00F94006">
        <w:rPr>
          <w:rFonts w:ascii="gobCL" w:eastAsia="Times New Roman" w:hAnsi="gobCL" w:cs="Calibri"/>
          <w:lang w:eastAsia="es-CL"/>
        </w:rPr>
        <w:t xml:space="preserve"> y persona</w:t>
      </w:r>
      <w:r w:rsidR="00BE3181" w:rsidRPr="00F94006">
        <w:rPr>
          <w:rFonts w:ascii="gobCL" w:eastAsia="Times New Roman" w:hAnsi="gobCL" w:cs="Calibri"/>
          <w:lang w:eastAsia="es-CL"/>
        </w:rPr>
        <w:t>;</w:t>
      </w:r>
      <w:r w:rsidRPr="00F94006">
        <w:rPr>
          <w:rFonts w:ascii="gobCL" w:eastAsia="Times New Roman" w:hAnsi="gobCL" w:cs="Calibri"/>
          <w:lang w:eastAsia="es-CL"/>
        </w:rPr>
        <w:t xml:space="preserve"> edad, sexo, </w:t>
      </w:r>
      <w:r w:rsidR="00677593" w:rsidRPr="00F94006">
        <w:rPr>
          <w:rFonts w:ascii="gobCL" w:eastAsia="Times New Roman" w:hAnsi="gobCL" w:cs="Calibri"/>
          <w:lang w:eastAsia="es-CL"/>
        </w:rPr>
        <w:t>presentación clínica, factores de exposición, incluyendo número de casos, porcentajes</w:t>
      </w:r>
      <w:r w:rsidR="000B59CB" w:rsidRPr="00F94006">
        <w:rPr>
          <w:rFonts w:ascii="gobCL" w:eastAsia="Times New Roman" w:hAnsi="gobCL" w:cs="Calibri"/>
          <w:lang w:eastAsia="es-CL"/>
        </w:rPr>
        <w:t xml:space="preserve"> y</w:t>
      </w:r>
      <w:r w:rsidRPr="00F94006">
        <w:rPr>
          <w:rFonts w:ascii="gobCL" w:eastAsia="Times New Roman" w:hAnsi="gobCL" w:cs="Calibri"/>
          <w:lang w:eastAsia="es-CL"/>
        </w:rPr>
        <w:t xml:space="preserve"> tasas por cien mil habs., utilizando las proyecciones de población del Instituto Nacional de Estadísticas (INE) para el período 2002-2035, basadas en el Censo 2017</w:t>
      </w:r>
      <w:r w:rsidR="00CD614A" w:rsidRPr="00F94006">
        <w:rPr>
          <w:rFonts w:ascii="gobCL" w:eastAsia="Times New Roman" w:hAnsi="gobCL" w:cs="Calibri"/>
          <w:lang w:eastAsia="es-CL"/>
        </w:rPr>
        <w:t xml:space="preserve"> (</w:t>
      </w:r>
      <w:r w:rsidR="000B59CB" w:rsidRPr="00F94006">
        <w:rPr>
          <w:rStyle w:val="Refdenotaalfinal"/>
          <w:rFonts w:ascii="gobCL" w:eastAsia="Times New Roman" w:hAnsi="gobCL" w:cs="Calibri"/>
          <w:vertAlign w:val="baseline"/>
          <w:lang w:eastAsia="es-CL"/>
        </w:rPr>
        <w:endnoteReference w:id="2"/>
      </w:r>
      <w:r w:rsidR="00CD614A" w:rsidRPr="00F94006">
        <w:rPr>
          <w:rFonts w:ascii="gobCL" w:eastAsia="Times New Roman" w:hAnsi="gobCL" w:cs="Calibri"/>
          <w:lang w:eastAsia="es-CL"/>
        </w:rPr>
        <w:t>)</w:t>
      </w:r>
      <w:r w:rsidRPr="00F94006">
        <w:rPr>
          <w:rFonts w:ascii="gobCL" w:eastAsia="Times New Roman" w:hAnsi="gobCL" w:cs="Calibri"/>
          <w:lang w:eastAsia="es-CL"/>
        </w:rPr>
        <w:t xml:space="preserve">. </w:t>
      </w:r>
    </w:p>
    <w:p w14:paraId="6F05788B" w14:textId="3FEE4F2D" w:rsidR="003E5D00" w:rsidRPr="00F94006" w:rsidRDefault="003E5D00" w:rsidP="00761BAB">
      <w:pPr>
        <w:spacing w:after="0" w:line="360" w:lineRule="auto"/>
        <w:jc w:val="both"/>
        <w:rPr>
          <w:rFonts w:ascii="gobCL" w:eastAsia="Times New Roman" w:hAnsi="gobCL" w:cs="Calibri"/>
          <w:lang w:eastAsia="es-CL"/>
        </w:rPr>
      </w:pPr>
    </w:p>
    <w:p w14:paraId="346053BB" w14:textId="3C6EA929" w:rsidR="003E5D00" w:rsidRPr="006B5480" w:rsidRDefault="003E5D00" w:rsidP="00761BAB">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Se incluye una sección de análisis de brotes y conglomerados de casos. Para el análisis se utilizó la base de datos de casos y contactos de plataforma GoData. Se entiende por brote, a la detección de casos secundarios en la cadena de transmisión y conglomerados, cuando hay una exposición común o mismo lugar de riesgo, con un tiempo inferior a un periodo de incubación mínimo entre los casos (&lt; 5 días).</w:t>
      </w:r>
    </w:p>
    <w:p w14:paraId="18B51BA8" w14:textId="77777777" w:rsidR="00F77F18" w:rsidRPr="006B5480" w:rsidRDefault="00F77F18" w:rsidP="00761BAB">
      <w:pPr>
        <w:spacing w:after="0" w:line="360" w:lineRule="auto"/>
        <w:jc w:val="both"/>
        <w:rPr>
          <w:rFonts w:ascii="gobCL" w:eastAsia="Times New Roman" w:hAnsi="gobCL" w:cs="Calibri"/>
          <w:lang w:eastAsia="es-CL"/>
        </w:rPr>
      </w:pPr>
    </w:p>
    <w:p w14:paraId="76F2BA98" w14:textId="0E0CA4E6" w:rsidR="00F77F18" w:rsidRPr="00F94006" w:rsidRDefault="00F77F18" w:rsidP="00761BAB">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lastRenderedPageBreak/>
        <w:t xml:space="preserve">Se realizaron </w:t>
      </w:r>
      <w:r w:rsidR="00631E79" w:rsidRPr="00F94006">
        <w:rPr>
          <w:rFonts w:ascii="gobCL" w:eastAsia="Times New Roman" w:hAnsi="gobCL" w:cs="Calibri"/>
          <w:lang w:eastAsia="es-CL"/>
        </w:rPr>
        <w:t xml:space="preserve">tablas y figuras </w:t>
      </w:r>
      <w:r w:rsidRPr="00F94006">
        <w:rPr>
          <w:rFonts w:ascii="gobCL" w:eastAsia="Times New Roman" w:hAnsi="gobCL" w:cs="Calibri"/>
          <w:lang w:eastAsia="es-CL"/>
        </w:rPr>
        <w:t xml:space="preserve">para presentar los resultados, utilizando </w:t>
      </w:r>
      <w:r w:rsidR="00631E79" w:rsidRPr="00F94006">
        <w:rPr>
          <w:rFonts w:ascii="gobCL" w:eastAsia="Times New Roman" w:hAnsi="gobCL" w:cs="Calibri"/>
          <w:lang w:eastAsia="es-CL"/>
        </w:rPr>
        <w:t xml:space="preserve">los </w:t>
      </w:r>
      <w:r w:rsidRPr="00F94006">
        <w:rPr>
          <w:rFonts w:ascii="gobCL" w:eastAsia="Times New Roman" w:hAnsi="gobCL" w:cs="Calibri"/>
          <w:lang w:eastAsia="es-CL"/>
        </w:rPr>
        <w:t>software</w:t>
      </w:r>
      <w:r w:rsidR="00631E79" w:rsidRPr="00F94006">
        <w:rPr>
          <w:rFonts w:ascii="gobCL" w:eastAsia="Times New Roman" w:hAnsi="gobCL" w:cs="Calibri"/>
          <w:lang w:eastAsia="es-CL"/>
        </w:rPr>
        <w:t>s</w:t>
      </w:r>
      <w:r w:rsidRPr="00F94006">
        <w:rPr>
          <w:rFonts w:ascii="gobCL" w:eastAsia="Times New Roman" w:hAnsi="gobCL" w:cs="Calibri"/>
          <w:lang w:eastAsia="es-CL"/>
        </w:rPr>
        <w:t xml:space="preserve"> </w:t>
      </w:r>
      <w:r w:rsidR="00CB4F5F" w:rsidRPr="00F94006">
        <w:rPr>
          <w:rFonts w:ascii="gobCL" w:eastAsia="Times New Roman" w:hAnsi="gobCL" w:cs="Calibri"/>
          <w:lang w:eastAsia="es-CL"/>
        </w:rPr>
        <w:t xml:space="preserve">Excel 365, </w:t>
      </w:r>
      <w:r w:rsidR="00631E79" w:rsidRPr="00F94006">
        <w:rPr>
          <w:rFonts w:ascii="gobCL" w:eastAsia="Times New Roman" w:hAnsi="gobCL" w:cs="Calibri"/>
          <w:lang w:eastAsia="es-CL"/>
        </w:rPr>
        <w:t xml:space="preserve">RStudio y </w:t>
      </w:r>
      <w:r w:rsidRPr="00F94006">
        <w:rPr>
          <w:rFonts w:ascii="gobCL" w:eastAsia="Times New Roman" w:hAnsi="gobCL" w:cs="Calibri"/>
          <w:lang w:eastAsia="es-CL"/>
        </w:rPr>
        <w:t>STATA MB 1</w:t>
      </w:r>
      <w:r w:rsidR="00631E79" w:rsidRPr="00F94006">
        <w:rPr>
          <w:rFonts w:ascii="gobCL" w:eastAsia="Times New Roman" w:hAnsi="gobCL" w:cs="Calibri"/>
          <w:lang w:eastAsia="es-CL"/>
        </w:rPr>
        <w:t>7</w:t>
      </w:r>
      <w:r w:rsidRPr="00F94006">
        <w:rPr>
          <w:rFonts w:ascii="gobCL" w:eastAsia="Times New Roman" w:hAnsi="gobCL" w:cs="Calibri"/>
          <w:lang w:eastAsia="es-CL"/>
        </w:rPr>
        <w:t>. Los datos del periodo estudiado corresponden a información provisoria, en proceso de validación.</w:t>
      </w:r>
    </w:p>
    <w:p w14:paraId="58ED4CC2" w14:textId="77777777" w:rsidR="00F77F18" w:rsidRPr="00F94006" w:rsidRDefault="00F77F18" w:rsidP="00761BAB">
      <w:pPr>
        <w:spacing w:after="0" w:line="360" w:lineRule="auto"/>
        <w:jc w:val="both"/>
        <w:rPr>
          <w:rFonts w:ascii="gobCL" w:eastAsia="Times New Roman" w:hAnsi="gobCL" w:cs="Calibri"/>
          <w:lang w:eastAsia="es-CL"/>
        </w:rPr>
      </w:pPr>
    </w:p>
    <w:p w14:paraId="2A45B4DD" w14:textId="4246234D" w:rsidR="003576C0" w:rsidRPr="003241A2" w:rsidRDefault="00F77F18" w:rsidP="00F57194">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Respecto a la Ley N° 20.584 que “Regula los derechos y deberes que tienen las personas en relación con acciones vinculadas a su atención en salud”, este informe no la vulnera, debido a que utiliza datos del MINSAL, los cuales se recogen dando cumplimiento a su rol según las siguientes leyes previas: DFL Nº 1/2005 del MINSAL y Ley Nº19.628 sobre datos sensibles.</w:t>
      </w:r>
      <w:r w:rsidR="003576C0" w:rsidRPr="003241A2">
        <w:rPr>
          <w:rFonts w:ascii="gobCL" w:eastAsia="Times New Roman" w:hAnsi="gobCL"/>
          <w:b/>
          <w:bCs/>
          <w:color w:val="0070C0"/>
          <w:lang w:eastAsia="es-CL"/>
        </w:rPr>
        <w:br w:type="page"/>
      </w:r>
    </w:p>
    <w:p w14:paraId="41C2D533" w14:textId="74108DAF" w:rsidR="00BF4DA5" w:rsidRPr="006800D5" w:rsidRDefault="005220FC">
      <w:pPr>
        <w:pStyle w:val="Ttulo1"/>
        <w:numPr>
          <w:ilvl w:val="0"/>
          <w:numId w:val="2"/>
        </w:numPr>
        <w:spacing w:before="0" w:line="360" w:lineRule="auto"/>
        <w:rPr>
          <w:rFonts w:ascii="gobCL" w:eastAsia="Times New Roman" w:hAnsi="gobCL"/>
          <w:b/>
          <w:bCs/>
          <w:color w:val="0070C0"/>
          <w:lang w:eastAsia="es-CL"/>
        </w:rPr>
      </w:pPr>
      <w:bookmarkStart w:id="5" w:name="_Toc115441223"/>
      <w:r w:rsidRPr="006800D5">
        <w:rPr>
          <w:rFonts w:ascii="gobCL" w:eastAsia="Times New Roman" w:hAnsi="gobCL"/>
          <w:b/>
          <w:bCs/>
          <w:color w:val="0070C0"/>
          <w:lang w:eastAsia="es-CL"/>
        </w:rPr>
        <w:lastRenderedPageBreak/>
        <w:t>SITUACIÓN EPIDEMIOLÓGICA</w:t>
      </w:r>
      <w:bookmarkEnd w:id="5"/>
    </w:p>
    <w:p w14:paraId="25BB0E0A" w14:textId="77777777" w:rsidR="00717EFC" w:rsidRPr="006800D5" w:rsidRDefault="00717EFC" w:rsidP="00FC6496">
      <w:pPr>
        <w:spacing w:after="0" w:line="360" w:lineRule="auto"/>
        <w:jc w:val="both"/>
        <w:rPr>
          <w:rFonts w:ascii="gobCL" w:eastAsia="Times New Roman" w:hAnsi="gobCL" w:cs="Calibri"/>
          <w:lang w:eastAsia="es-CL"/>
        </w:rPr>
      </w:pPr>
    </w:p>
    <w:p w14:paraId="6F55504D" w14:textId="4FE7E7B4" w:rsidR="006B5480" w:rsidRDefault="00893421" w:rsidP="006C49D5">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En Chile d</w:t>
      </w:r>
      <w:r w:rsidR="00717EFC" w:rsidRPr="00F94006">
        <w:rPr>
          <w:rFonts w:ascii="gobCL" w:eastAsia="Times New Roman" w:hAnsi="gobCL" w:cs="Calibri"/>
          <w:lang w:eastAsia="es-CL"/>
        </w:rPr>
        <w:t xml:space="preserve">esde el 17 de junio al </w:t>
      </w:r>
      <w:r w:rsidR="00027372" w:rsidRPr="00F94006">
        <w:rPr>
          <w:rFonts w:ascii="gobCL" w:eastAsia="Times New Roman" w:hAnsi="gobCL" w:cs="Calibri"/>
          <w:lang w:eastAsia="es-CL"/>
        </w:rPr>
        <w:t>13</w:t>
      </w:r>
      <w:r w:rsidR="00A36687" w:rsidRPr="00F94006">
        <w:rPr>
          <w:rFonts w:ascii="gobCL" w:eastAsia="Times New Roman" w:hAnsi="gobCL" w:cs="Calibri"/>
          <w:lang w:eastAsia="es-CL"/>
        </w:rPr>
        <w:t xml:space="preserve"> de octubre</w:t>
      </w:r>
      <w:r w:rsidR="0045766B" w:rsidRPr="00F94006">
        <w:rPr>
          <w:rFonts w:ascii="gobCL" w:eastAsia="Times New Roman" w:hAnsi="gobCL" w:cs="Calibri"/>
          <w:lang w:eastAsia="es-CL"/>
        </w:rPr>
        <w:t xml:space="preserve"> </w:t>
      </w:r>
      <w:r w:rsidR="00717EFC" w:rsidRPr="00F94006">
        <w:rPr>
          <w:rFonts w:ascii="gobCL" w:eastAsia="Times New Roman" w:hAnsi="gobCL" w:cs="Calibri"/>
          <w:lang w:eastAsia="es-CL"/>
        </w:rPr>
        <w:t>de 2022, se</w:t>
      </w:r>
      <w:r w:rsidRPr="00F94006">
        <w:rPr>
          <w:rFonts w:ascii="gobCL" w:eastAsia="Times New Roman" w:hAnsi="gobCL" w:cs="Calibri"/>
          <w:lang w:eastAsia="es-CL"/>
        </w:rPr>
        <w:t xml:space="preserve"> notific</w:t>
      </w:r>
      <w:r w:rsidR="00717EFC" w:rsidRPr="00F94006">
        <w:rPr>
          <w:rFonts w:ascii="gobCL" w:eastAsia="Times New Roman" w:hAnsi="gobCL" w:cs="Calibri"/>
          <w:lang w:eastAsia="es-CL"/>
        </w:rPr>
        <w:t xml:space="preserve">aron </w:t>
      </w:r>
      <w:r w:rsidR="00586A60" w:rsidRPr="00F94006">
        <w:rPr>
          <w:rFonts w:ascii="gobCL" w:eastAsia="Times New Roman" w:hAnsi="gobCL" w:cs="Calibri"/>
          <w:lang w:eastAsia="es-CL"/>
        </w:rPr>
        <w:t>1</w:t>
      </w:r>
      <w:r w:rsidR="00107184" w:rsidRPr="00F94006">
        <w:rPr>
          <w:rFonts w:ascii="gobCL" w:eastAsia="Times New Roman" w:hAnsi="gobCL" w:cs="Calibri"/>
          <w:lang w:eastAsia="es-CL"/>
        </w:rPr>
        <w:t>.</w:t>
      </w:r>
      <w:r w:rsidR="00DB6889" w:rsidRPr="00F94006">
        <w:rPr>
          <w:rFonts w:ascii="gobCL" w:eastAsia="Times New Roman" w:hAnsi="gobCL" w:cs="Calibri"/>
          <w:lang w:eastAsia="es-CL"/>
        </w:rPr>
        <w:t>614</w:t>
      </w:r>
      <w:r w:rsidR="00717EFC" w:rsidRPr="00F94006">
        <w:rPr>
          <w:rFonts w:ascii="gobCL" w:eastAsia="Times New Roman" w:hAnsi="gobCL" w:cs="Calibri"/>
          <w:lang w:eastAsia="es-CL"/>
        </w:rPr>
        <w:t xml:space="preserve"> casos </w:t>
      </w:r>
      <w:r w:rsidRPr="00F94006">
        <w:rPr>
          <w:rFonts w:ascii="gobCL" w:eastAsia="Times New Roman" w:hAnsi="gobCL" w:cs="Calibri"/>
          <w:lang w:eastAsia="es-CL"/>
        </w:rPr>
        <w:t xml:space="preserve">sospechosos, de </w:t>
      </w:r>
      <w:r w:rsidR="0083644B" w:rsidRPr="00F94006">
        <w:rPr>
          <w:rFonts w:ascii="gobCL" w:eastAsia="Times New Roman" w:hAnsi="gobCL" w:cs="Calibri"/>
          <w:lang w:eastAsia="es-CL"/>
        </w:rPr>
        <w:t>los cuales</w:t>
      </w:r>
      <w:r w:rsidRPr="00F94006">
        <w:rPr>
          <w:rFonts w:ascii="gobCL" w:eastAsia="Times New Roman" w:hAnsi="gobCL" w:cs="Calibri"/>
          <w:lang w:eastAsia="es-CL"/>
        </w:rPr>
        <w:t xml:space="preserve"> </w:t>
      </w:r>
      <w:r w:rsidR="002953B5" w:rsidRPr="00F94006">
        <w:rPr>
          <w:rFonts w:ascii="gobCL" w:eastAsia="Times New Roman" w:hAnsi="gobCL" w:cs="Calibri"/>
          <w:b/>
          <w:bCs/>
          <w:lang w:eastAsia="es-CL"/>
        </w:rPr>
        <w:t>1.0</w:t>
      </w:r>
      <w:r w:rsidR="00330129" w:rsidRPr="00F94006">
        <w:rPr>
          <w:rFonts w:ascii="gobCL" w:eastAsia="Times New Roman" w:hAnsi="gobCL" w:cs="Calibri"/>
          <w:b/>
          <w:bCs/>
          <w:lang w:eastAsia="es-CL"/>
        </w:rPr>
        <w:t>93</w:t>
      </w:r>
      <w:r w:rsidRPr="00F94006">
        <w:rPr>
          <w:rFonts w:ascii="gobCL" w:eastAsia="Times New Roman" w:hAnsi="gobCL" w:cs="Calibri"/>
          <w:b/>
          <w:bCs/>
          <w:lang w:eastAsia="es-CL"/>
        </w:rPr>
        <w:t xml:space="preserve"> correspondieron a </w:t>
      </w:r>
      <w:r w:rsidR="00717EFC" w:rsidRPr="00F94006">
        <w:rPr>
          <w:rFonts w:ascii="gobCL" w:eastAsia="Times New Roman" w:hAnsi="gobCL" w:cs="Calibri"/>
          <w:b/>
          <w:bCs/>
          <w:lang w:eastAsia="es-CL"/>
        </w:rPr>
        <w:t>viruela del mono</w:t>
      </w:r>
      <w:r w:rsidRPr="00F94006">
        <w:rPr>
          <w:rFonts w:ascii="gobCL" w:eastAsia="Times New Roman" w:hAnsi="gobCL" w:cs="Calibri"/>
          <w:lang w:eastAsia="es-CL"/>
        </w:rPr>
        <w:t xml:space="preserve"> (</w:t>
      </w:r>
      <w:r w:rsidR="002953B5" w:rsidRPr="00F94006">
        <w:rPr>
          <w:rFonts w:ascii="gobCL" w:eastAsia="Times New Roman" w:hAnsi="gobCL" w:cs="Calibri"/>
          <w:lang w:eastAsia="es-CL"/>
        </w:rPr>
        <w:t>1.0</w:t>
      </w:r>
      <w:r w:rsidR="00570A8B" w:rsidRPr="00F94006">
        <w:rPr>
          <w:rFonts w:ascii="gobCL" w:eastAsia="Times New Roman" w:hAnsi="gobCL" w:cs="Calibri"/>
          <w:lang w:eastAsia="es-CL"/>
        </w:rPr>
        <w:t>7</w:t>
      </w:r>
      <w:r w:rsidR="00330129" w:rsidRPr="00F94006">
        <w:rPr>
          <w:rFonts w:ascii="gobCL" w:eastAsia="Times New Roman" w:hAnsi="gobCL" w:cs="Calibri"/>
          <w:lang w:eastAsia="es-CL"/>
        </w:rPr>
        <w:t>8</w:t>
      </w:r>
      <w:r w:rsidR="00717EFC" w:rsidRPr="00F94006">
        <w:rPr>
          <w:rFonts w:ascii="gobCL" w:eastAsia="Times New Roman" w:hAnsi="gobCL" w:cs="Calibri"/>
          <w:lang w:eastAsia="es-CL"/>
        </w:rPr>
        <w:t xml:space="preserve"> casos confirmados y </w:t>
      </w:r>
      <w:r w:rsidR="00570A8B" w:rsidRPr="00F94006">
        <w:rPr>
          <w:rFonts w:ascii="gobCL" w:eastAsia="Times New Roman" w:hAnsi="gobCL" w:cs="Calibri"/>
          <w:lang w:eastAsia="es-CL"/>
        </w:rPr>
        <w:t>15</w:t>
      </w:r>
      <w:r w:rsidR="00717EFC" w:rsidRPr="00F94006">
        <w:rPr>
          <w:rFonts w:ascii="gobCL" w:eastAsia="Times New Roman" w:hAnsi="gobCL" w:cs="Calibri"/>
          <w:lang w:eastAsia="es-CL"/>
        </w:rPr>
        <w:t xml:space="preserve"> caso</w:t>
      </w:r>
      <w:r w:rsidR="00363954" w:rsidRPr="00F94006">
        <w:rPr>
          <w:rFonts w:ascii="gobCL" w:eastAsia="Times New Roman" w:hAnsi="gobCL" w:cs="Calibri"/>
          <w:lang w:eastAsia="es-CL"/>
        </w:rPr>
        <w:t>s</w:t>
      </w:r>
      <w:r w:rsidR="00717EFC" w:rsidRPr="00F94006">
        <w:rPr>
          <w:rFonts w:ascii="gobCL" w:eastAsia="Times New Roman" w:hAnsi="gobCL" w:cs="Calibri"/>
          <w:lang w:eastAsia="es-CL"/>
        </w:rPr>
        <w:t xml:space="preserve"> probable</w:t>
      </w:r>
      <w:r w:rsidR="00363954" w:rsidRPr="00F94006">
        <w:rPr>
          <w:rFonts w:ascii="gobCL" w:eastAsia="Times New Roman" w:hAnsi="gobCL" w:cs="Calibri"/>
          <w:lang w:eastAsia="es-CL"/>
        </w:rPr>
        <w:t>s</w:t>
      </w:r>
      <w:r w:rsidRPr="00F94006">
        <w:rPr>
          <w:rFonts w:ascii="gobCL" w:eastAsia="Times New Roman" w:hAnsi="gobCL" w:cs="Calibri"/>
          <w:lang w:eastAsia="es-CL"/>
        </w:rPr>
        <w:t>)</w:t>
      </w:r>
      <w:r w:rsidR="00717EFC" w:rsidRPr="00F94006">
        <w:rPr>
          <w:rFonts w:ascii="gobCL" w:eastAsia="Times New Roman" w:hAnsi="gobCL" w:cs="Calibri"/>
          <w:lang w:eastAsia="es-CL"/>
        </w:rPr>
        <w:t xml:space="preserve">. </w:t>
      </w:r>
      <w:r w:rsidR="00484527" w:rsidRPr="00F94006">
        <w:rPr>
          <w:rFonts w:ascii="gobCL" w:eastAsia="Times New Roman" w:hAnsi="gobCL" w:cs="Calibri"/>
          <w:lang w:eastAsia="es-CL"/>
        </w:rPr>
        <w:t>En la última semana s</w:t>
      </w:r>
      <w:r w:rsidR="006B5480" w:rsidRPr="00F94006">
        <w:rPr>
          <w:rFonts w:ascii="gobCL" w:eastAsia="Times New Roman" w:hAnsi="gobCL" w:cs="Calibri"/>
          <w:lang w:eastAsia="es-CL"/>
        </w:rPr>
        <w:t xml:space="preserve">e </w:t>
      </w:r>
      <w:r w:rsidR="00484527" w:rsidRPr="00F94006">
        <w:rPr>
          <w:rFonts w:ascii="gobCL" w:eastAsia="Times New Roman" w:hAnsi="gobCL" w:cs="Calibri"/>
          <w:lang w:eastAsia="es-CL"/>
        </w:rPr>
        <w:t xml:space="preserve">confirmaron </w:t>
      </w:r>
      <w:r w:rsidR="00133D39">
        <w:rPr>
          <w:rFonts w:ascii="gobCL" w:eastAsia="Times New Roman" w:hAnsi="gobCL" w:cs="Calibri"/>
          <w:b/>
          <w:bCs/>
          <w:lang w:eastAsia="es-CL"/>
        </w:rPr>
        <w:t>14</w:t>
      </w:r>
      <w:r w:rsidR="00484527" w:rsidRPr="00F94006">
        <w:rPr>
          <w:rFonts w:ascii="gobCL" w:eastAsia="Times New Roman" w:hAnsi="gobCL" w:cs="Calibri"/>
          <w:b/>
          <w:bCs/>
          <w:lang w:eastAsia="es-CL"/>
        </w:rPr>
        <w:t xml:space="preserve"> casos nuevos</w:t>
      </w:r>
      <w:r w:rsidR="000844CD" w:rsidRPr="00F94006">
        <w:rPr>
          <w:rFonts w:ascii="gobCL" w:eastAsia="Times New Roman" w:hAnsi="gobCL" w:cs="Calibri"/>
          <w:lang w:eastAsia="es-CL"/>
        </w:rPr>
        <w:t xml:space="preserve">, con respecto al informe del </w:t>
      </w:r>
      <w:r w:rsidR="00133D39">
        <w:rPr>
          <w:rFonts w:ascii="gobCL" w:eastAsia="Times New Roman" w:hAnsi="gobCL" w:cs="Calibri"/>
          <w:lang w:eastAsia="es-CL"/>
        </w:rPr>
        <w:t>11</w:t>
      </w:r>
      <w:r w:rsidR="000844CD" w:rsidRPr="00F94006">
        <w:rPr>
          <w:rFonts w:ascii="gobCL" w:eastAsia="Times New Roman" w:hAnsi="gobCL" w:cs="Calibri"/>
          <w:lang w:eastAsia="es-CL"/>
        </w:rPr>
        <w:t xml:space="preserve"> de </w:t>
      </w:r>
      <w:r w:rsidR="0071697C" w:rsidRPr="00F94006">
        <w:rPr>
          <w:rFonts w:ascii="gobCL" w:eastAsia="Times New Roman" w:hAnsi="gobCL" w:cs="Calibri"/>
          <w:lang w:eastAsia="es-CL"/>
        </w:rPr>
        <w:t>octubre</w:t>
      </w:r>
      <w:r w:rsidR="000844CD" w:rsidRPr="00F94006">
        <w:rPr>
          <w:rFonts w:ascii="gobCL" w:eastAsia="Times New Roman" w:hAnsi="gobCL" w:cs="Calibri"/>
          <w:lang w:eastAsia="es-CL"/>
        </w:rPr>
        <w:t xml:space="preserve"> </w:t>
      </w:r>
      <w:r w:rsidR="00E9311B" w:rsidRPr="00F94006">
        <w:rPr>
          <w:rFonts w:ascii="gobCL" w:eastAsia="Times New Roman" w:hAnsi="gobCL" w:cs="Calibri"/>
          <w:lang w:eastAsia="es-CL"/>
        </w:rPr>
        <w:t>d</w:t>
      </w:r>
      <w:r w:rsidR="000844CD" w:rsidRPr="00F94006">
        <w:rPr>
          <w:rFonts w:ascii="gobCL" w:eastAsia="Times New Roman" w:hAnsi="gobCL" w:cs="Calibri"/>
          <w:lang w:eastAsia="es-CL"/>
        </w:rPr>
        <w:t>e 2022.</w:t>
      </w:r>
      <w:r w:rsidR="00484527">
        <w:rPr>
          <w:rFonts w:ascii="gobCL" w:eastAsia="Times New Roman" w:hAnsi="gobCL" w:cs="Calibri"/>
          <w:lang w:eastAsia="es-CL"/>
        </w:rPr>
        <w:t xml:space="preserve"> </w:t>
      </w:r>
    </w:p>
    <w:p w14:paraId="2BBC7695" w14:textId="77777777" w:rsidR="006B5480" w:rsidRDefault="006B5480" w:rsidP="006C49D5">
      <w:pPr>
        <w:spacing w:after="0" w:line="360" w:lineRule="auto"/>
        <w:jc w:val="both"/>
        <w:rPr>
          <w:rFonts w:ascii="gobCL" w:eastAsia="Times New Roman" w:hAnsi="gobCL" w:cs="Calibri"/>
          <w:lang w:eastAsia="es-CL"/>
        </w:rPr>
      </w:pPr>
    </w:p>
    <w:p w14:paraId="62F4A9FE" w14:textId="658F9D40" w:rsidR="001A2D26" w:rsidRPr="006800D5" w:rsidRDefault="001A2D26" w:rsidP="006C49D5">
      <w:pPr>
        <w:spacing w:after="0" w:line="360" w:lineRule="auto"/>
        <w:jc w:val="both"/>
        <w:rPr>
          <w:rFonts w:ascii="gobCL" w:eastAsia="Times New Roman" w:hAnsi="gobCL" w:cs="Calibri"/>
          <w:lang w:eastAsia="es-CL"/>
        </w:rPr>
      </w:pPr>
      <w:r w:rsidRPr="00133D39">
        <w:rPr>
          <w:rFonts w:ascii="gobCL" w:eastAsia="Times New Roman" w:hAnsi="gobCL" w:cs="Calibri"/>
          <w:lang w:eastAsia="es-CL"/>
        </w:rPr>
        <w:t xml:space="preserve">Del total de casos, </w:t>
      </w:r>
      <w:r w:rsidR="001C2E2E" w:rsidRPr="00133D39">
        <w:rPr>
          <w:rFonts w:ascii="gobCL" w:eastAsia="Times New Roman" w:hAnsi="gobCL" w:cs="Calibri"/>
          <w:lang w:eastAsia="es-CL"/>
        </w:rPr>
        <w:t xml:space="preserve">en </w:t>
      </w:r>
      <w:r w:rsidR="00133D39" w:rsidRPr="00133D39">
        <w:rPr>
          <w:rFonts w:ascii="gobCL" w:eastAsia="Times New Roman" w:hAnsi="gobCL" w:cs="Calibri"/>
          <w:lang w:eastAsia="es-CL"/>
        </w:rPr>
        <w:t>505</w:t>
      </w:r>
      <w:r w:rsidR="001C2E2E" w:rsidRPr="00133D39">
        <w:rPr>
          <w:rFonts w:ascii="gobCL" w:eastAsia="Times New Roman" w:hAnsi="gobCL" w:cs="Calibri"/>
          <w:lang w:eastAsia="es-CL"/>
        </w:rPr>
        <w:t xml:space="preserve"> se </w:t>
      </w:r>
      <w:r w:rsidR="00751FC6" w:rsidRPr="00133D39">
        <w:rPr>
          <w:rFonts w:ascii="gobCL" w:eastAsia="Times New Roman" w:hAnsi="gobCL" w:cs="Calibri"/>
          <w:lang w:eastAsia="es-CL"/>
        </w:rPr>
        <w:t xml:space="preserve">constató </w:t>
      </w:r>
      <w:r w:rsidR="001C2E2E" w:rsidRPr="00133D39">
        <w:rPr>
          <w:rFonts w:ascii="gobCL" w:eastAsia="Times New Roman" w:hAnsi="gobCL" w:cs="Calibri"/>
          <w:lang w:eastAsia="es-CL"/>
        </w:rPr>
        <w:t xml:space="preserve">el alta epidemiológica, mientras que </w:t>
      </w:r>
      <w:r w:rsidR="00144D7E" w:rsidRPr="00133D39">
        <w:rPr>
          <w:rFonts w:ascii="gobCL" w:eastAsia="Times New Roman" w:hAnsi="gobCL" w:cs="Calibri"/>
          <w:lang w:eastAsia="es-CL"/>
        </w:rPr>
        <w:t>58</w:t>
      </w:r>
      <w:r w:rsidR="00133D39" w:rsidRPr="00133D39">
        <w:rPr>
          <w:rFonts w:ascii="gobCL" w:eastAsia="Times New Roman" w:hAnsi="gobCL" w:cs="Calibri"/>
          <w:lang w:eastAsia="es-CL"/>
        </w:rPr>
        <w:t>8</w:t>
      </w:r>
      <w:r w:rsidR="001C2E2E" w:rsidRPr="00133D39">
        <w:rPr>
          <w:rFonts w:ascii="gobCL" w:eastAsia="Times New Roman" w:hAnsi="gobCL" w:cs="Calibri"/>
          <w:lang w:eastAsia="es-CL"/>
        </w:rPr>
        <w:t xml:space="preserve"> </w:t>
      </w:r>
      <w:r w:rsidR="00751FC6" w:rsidRPr="00133D39">
        <w:rPr>
          <w:rFonts w:ascii="gobCL" w:eastAsia="Times New Roman" w:hAnsi="gobCL" w:cs="Calibri"/>
          <w:lang w:eastAsia="es-CL"/>
        </w:rPr>
        <w:t>corresponden a casos en periodo de aislamiento.</w:t>
      </w:r>
    </w:p>
    <w:p w14:paraId="015A0E95" w14:textId="77777777" w:rsidR="008029E7" w:rsidRPr="006800D5" w:rsidRDefault="008029E7" w:rsidP="006C49D5">
      <w:pPr>
        <w:spacing w:after="0" w:line="360" w:lineRule="auto"/>
        <w:jc w:val="both"/>
        <w:rPr>
          <w:rFonts w:ascii="gobCL" w:eastAsia="Times New Roman" w:hAnsi="gobCL" w:cs="Calibri"/>
          <w:lang w:eastAsia="es-CL"/>
        </w:rPr>
      </w:pPr>
    </w:p>
    <w:p w14:paraId="15D906F3" w14:textId="151DD5B7" w:rsidR="00717EFC" w:rsidRPr="00D47A9C" w:rsidRDefault="00893421" w:rsidP="00FC6496">
      <w:pPr>
        <w:spacing w:after="0" w:line="360" w:lineRule="auto"/>
        <w:jc w:val="both"/>
        <w:rPr>
          <w:rFonts w:ascii="gobCL" w:eastAsia="Times New Roman" w:hAnsi="gobCL" w:cs="Calibri"/>
          <w:lang w:eastAsia="es-CL"/>
        </w:rPr>
      </w:pPr>
      <w:r w:rsidRPr="00F94006">
        <w:rPr>
          <w:rFonts w:ascii="gobCL" w:eastAsia="Times New Roman" w:hAnsi="gobCL" w:cs="Calibri"/>
          <w:lang w:eastAsia="es-CL"/>
        </w:rPr>
        <w:t xml:space="preserve">El resto de </w:t>
      </w:r>
      <w:r w:rsidR="001A2D26" w:rsidRPr="00F94006">
        <w:rPr>
          <w:rFonts w:ascii="gobCL" w:eastAsia="Times New Roman" w:hAnsi="gobCL" w:cs="Calibri"/>
          <w:lang w:eastAsia="es-CL"/>
        </w:rPr>
        <w:t xml:space="preserve">los </w:t>
      </w:r>
      <w:r w:rsidR="00717EFC" w:rsidRPr="00F94006">
        <w:rPr>
          <w:rFonts w:ascii="gobCL" w:eastAsia="Times New Roman" w:hAnsi="gobCL" w:cs="Calibri"/>
          <w:lang w:eastAsia="es-CL"/>
        </w:rPr>
        <w:t xml:space="preserve">casos </w:t>
      </w:r>
      <w:r w:rsidR="001A2D26" w:rsidRPr="00F94006">
        <w:rPr>
          <w:rFonts w:ascii="gobCL" w:eastAsia="Times New Roman" w:hAnsi="gobCL" w:cs="Calibri"/>
          <w:lang w:eastAsia="es-CL"/>
        </w:rPr>
        <w:t>notificados (n=</w:t>
      </w:r>
      <w:r w:rsidR="00AB3983" w:rsidRPr="00F94006">
        <w:rPr>
          <w:rFonts w:ascii="gobCL" w:eastAsia="Times New Roman" w:hAnsi="gobCL" w:cs="Calibri"/>
          <w:lang w:eastAsia="es-CL"/>
        </w:rPr>
        <w:t>521</w:t>
      </w:r>
      <w:r w:rsidR="001A2D26" w:rsidRPr="00F94006">
        <w:rPr>
          <w:rFonts w:ascii="gobCL" w:eastAsia="Times New Roman" w:hAnsi="gobCL" w:cs="Calibri"/>
          <w:lang w:eastAsia="es-CL"/>
        </w:rPr>
        <w:t xml:space="preserve">) </w:t>
      </w:r>
      <w:r w:rsidR="008029E7" w:rsidRPr="00F94006">
        <w:rPr>
          <w:rFonts w:ascii="gobCL" w:eastAsia="Times New Roman" w:hAnsi="gobCL" w:cs="Calibri"/>
          <w:lang w:eastAsia="es-CL"/>
        </w:rPr>
        <w:t>correspondiero</w:t>
      </w:r>
      <w:r w:rsidR="009D4B50" w:rsidRPr="00F94006">
        <w:rPr>
          <w:rFonts w:ascii="gobCL" w:eastAsia="Times New Roman" w:hAnsi="gobCL" w:cs="Calibri"/>
          <w:lang w:eastAsia="es-CL"/>
        </w:rPr>
        <w:t xml:space="preserve">n a casos descartados </w:t>
      </w:r>
      <w:r w:rsidR="00717EFC" w:rsidRPr="00F94006">
        <w:rPr>
          <w:rFonts w:ascii="gobCL" w:eastAsia="Times New Roman" w:hAnsi="gobCL" w:cs="Calibri"/>
          <w:lang w:eastAsia="es-CL"/>
        </w:rPr>
        <w:t>(Tabla 1 y Figuras 1)</w:t>
      </w:r>
      <w:r w:rsidR="00D75AAC" w:rsidRPr="00F94006">
        <w:rPr>
          <w:rFonts w:ascii="gobCL" w:eastAsia="Times New Roman" w:hAnsi="gobCL" w:cs="Calibri"/>
          <w:lang w:eastAsia="es-CL"/>
        </w:rPr>
        <w:t>.</w:t>
      </w:r>
    </w:p>
    <w:p w14:paraId="41EC5319" w14:textId="615F5D03" w:rsidR="00717EFC" w:rsidRDefault="00717EFC" w:rsidP="00FC6496">
      <w:pPr>
        <w:spacing w:after="0" w:line="360" w:lineRule="auto"/>
        <w:jc w:val="both"/>
        <w:rPr>
          <w:rFonts w:ascii="gobCL" w:hAnsi="gobCL"/>
        </w:rPr>
      </w:pPr>
    </w:p>
    <w:p w14:paraId="22801F39" w14:textId="283A8D19" w:rsidR="00144D7E" w:rsidRDefault="00144D7E" w:rsidP="00FC6496">
      <w:pPr>
        <w:spacing w:after="0" w:line="360" w:lineRule="auto"/>
        <w:jc w:val="both"/>
        <w:rPr>
          <w:rFonts w:ascii="gobCL" w:hAnsi="gobCL"/>
        </w:rPr>
      </w:pPr>
    </w:p>
    <w:p w14:paraId="6943C52E" w14:textId="77777777" w:rsidR="00144D7E" w:rsidRPr="00D47A9C" w:rsidRDefault="00144D7E" w:rsidP="00FC6496">
      <w:pPr>
        <w:spacing w:after="0" w:line="360" w:lineRule="auto"/>
        <w:jc w:val="both"/>
        <w:rPr>
          <w:rFonts w:ascii="gobCL" w:hAnsi="gobCL"/>
        </w:rPr>
      </w:pPr>
    </w:p>
    <w:p w14:paraId="24AD7E4E" w14:textId="05BF12F6" w:rsidR="0064098F" w:rsidRPr="00133D39" w:rsidRDefault="00717EFC" w:rsidP="0064098F">
      <w:pPr>
        <w:spacing w:after="0" w:line="360" w:lineRule="auto"/>
        <w:jc w:val="center"/>
        <w:rPr>
          <w:rFonts w:ascii="gobCL" w:hAnsi="gobCL"/>
          <w:b/>
          <w:bCs/>
          <w:sz w:val="24"/>
          <w:szCs w:val="24"/>
        </w:rPr>
      </w:pPr>
      <w:r w:rsidRPr="00133D39">
        <w:rPr>
          <w:rFonts w:ascii="gobCL" w:hAnsi="gobCL"/>
          <w:b/>
          <w:bCs/>
          <w:sz w:val="24"/>
          <w:szCs w:val="24"/>
        </w:rPr>
        <w:t>Tabla 1: Resumen nacional de casos de viruela del mono</w:t>
      </w:r>
      <w:r w:rsidR="00A43490" w:rsidRPr="00133D39">
        <w:rPr>
          <w:rFonts w:ascii="gobCL" w:hAnsi="gobCL"/>
          <w:b/>
          <w:bCs/>
          <w:sz w:val="24"/>
          <w:szCs w:val="24"/>
        </w:rPr>
        <w:t>, según clasificación</w:t>
      </w:r>
      <w:r w:rsidR="00CB0D40" w:rsidRPr="00133D39">
        <w:rPr>
          <w:rFonts w:ascii="gobCL" w:hAnsi="gobCL"/>
          <w:b/>
          <w:bCs/>
          <w:sz w:val="24"/>
          <w:szCs w:val="24"/>
        </w:rPr>
        <w:t xml:space="preserve"> clínica</w:t>
      </w:r>
      <w:r w:rsidR="0064098F" w:rsidRPr="00133D39">
        <w:rPr>
          <w:rFonts w:ascii="gobCL" w:hAnsi="gobCL"/>
          <w:b/>
          <w:bCs/>
          <w:sz w:val="24"/>
          <w:szCs w:val="24"/>
        </w:rPr>
        <w:t xml:space="preserve">. Chile, al </w:t>
      </w:r>
      <w:r w:rsidR="00570A8B" w:rsidRPr="00133D39">
        <w:rPr>
          <w:rFonts w:ascii="gobCL" w:hAnsi="gobCL"/>
          <w:b/>
          <w:bCs/>
          <w:sz w:val="24"/>
          <w:szCs w:val="24"/>
        </w:rPr>
        <w:t>13</w:t>
      </w:r>
      <w:r w:rsidR="00A36687" w:rsidRPr="00133D39">
        <w:rPr>
          <w:rFonts w:ascii="gobCL" w:hAnsi="gobCL"/>
          <w:b/>
          <w:bCs/>
          <w:sz w:val="24"/>
          <w:szCs w:val="24"/>
        </w:rPr>
        <w:t xml:space="preserve"> de octubre</w:t>
      </w:r>
      <w:r w:rsidRPr="00133D39">
        <w:rPr>
          <w:rFonts w:ascii="gobCL" w:hAnsi="gobCL"/>
          <w:b/>
          <w:bCs/>
          <w:sz w:val="24"/>
          <w:szCs w:val="24"/>
        </w:rPr>
        <w:t xml:space="preserve"> de 2022.</w:t>
      </w:r>
    </w:p>
    <w:p w14:paraId="582FD6E6" w14:textId="3F1712A9" w:rsidR="001C2E2E" w:rsidRPr="00133D39" w:rsidRDefault="001C2E2E" w:rsidP="0064098F">
      <w:pPr>
        <w:spacing w:after="0" w:line="360" w:lineRule="auto"/>
        <w:jc w:val="center"/>
        <w:rPr>
          <w:rFonts w:ascii="gobCL" w:hAnsi="gobCL"/>
          <w:b/>
          <w:bCs/>
          <w:sz w:val="24"/>
          <w:szCs w:val="24"/>
        </w:rPr>
      </w:pPr>
    </w:p>
    <w:tbl>
      <w:tblPr>
        <w:tblW w:w="4000" w:type="pct"/>
        <w:jc w:val="center"/>
        <w:tblCellMar>
          <w:left w:w="70" w:type="dxa"/>
          <w:right w:w="70" w:type="dxa"/>
        </w:tblCellMar>
        <w:tblLook w:val="04A0" w:firstRow="1" w:lastRow="0" w:firstColumn="1" w:lastColumn="0" w:noHBand="0" w:noVBand="1"/>
      </w:tblPr>
      <w:tblGrid>
        <w:gridCol w:w="2016"/>
        <w:gridCol w:w="2016"/>
        <w:gridCol w:w="2016"/>
        <w:gridCol w:w="2016"/>
      </w:tblGrid>
      <w:tr w:rsidR="00144D7E" w:rsidRPr="00133D39" w14:paraId="5B70F29B" w14:textId="77777777" w:rsidTr="00144D7E">
        <w:trPr>
          <w:trHeight w:val="692"/>
          <w:jc w:val="center"/>
        </w:trPr>
        <w:tc>
          <w:tcPr>
            <w:tcW w:w="1250" w:type="pct"/>
            <w:tcBorders>
              <w:top w:val="single" w:sz="4" w:space="0" w:color="auto"/>
              <w:left w:val="nil"/>
              <w:bottom w:val="single" w:sz="4" w:space="0" w:color="auto"/>
              <w:right w:val="nil"/>
            </w:tcBorders>
            <w:shd w:val="clear" w:color="000000" w:fill="FFFFFF"/>
            <w:noWrap/>
            <w:vAlign w:val="center"/>
            <w:hideMark/>
          </w:tcPr>
          <w:p w14:paraId="79409815" w14:textId="77777777" w:rsidR="00144D7E" w:rsidRPr="00133D39" w:rsidRDefault="00144D7E" w:rsidP="001C2E2E">
            <w:pPr>
              <w:spacing w:after="0"/>
              <w:jc w:val="center"/>
              <w:rPr>
                <w:rFonts w:ascii="gobCL" w:eastAsia="Times New Roman" w:hAnsi="gobCL" w:cs="Calibri"/>
                <w:b/>
                <w:bCs/>
                <w:color w:val="000000"/>
                <w:lang w:eastAsia="es-CL"/>
              </w:rPr>
            </w:pPr>
            <w:r w:rsidRPr="00133D39">
              <w:rPr>
                <w:rFonts w:ascii="gobCL" w:eastAsia="Times New Roman" w:hAnsi="gobCL" w:cs="Calibri"/>
                <w:b/>
                <w:bCs/>
                <w:color w:val="000000"/>
                <w:lang w:eastAsia="es-CL"/>
              </w:rPr>
              <w:t>Clasificación</w:t>
            </w:r>
          </w:p>
        </w:tc>
        <w:tc>
          <w:tcPr>
            <w:tcW w:w="1250" w:type="pct"/>
            <w:tcBorders>
              <w:top w:val="single" w:sz="4" w:space="0" w:color="auto"/>
              <w:left w:val="nil"/>
              <w:bottom w:val="single" w:sz="4" w:space="0" w:color="auto"/>
              <w:right w:val="nil"/>
            </w:tcBorders>
            <w:shd w:val="clear" w:color="000000" w:fill="FFFFFF"/>
            <w:vAlign w:val="center"/>
            <w:hideMark/>
          </w:tcPr>
          <w:p w14:paraId="3E175A29" w14:textId="170CCE9F" w:rsidR="00144D7E" w:rsidRPr="00133D39" w:rsidRDefault="00144D7E" w:rsidP="001C2E2E">
            <w:pPr>
              <w:spacing w:after="0"/>
              <w:jc w:val="center"/>
              <w:rPr>
                <w:rFonts w:ascii="gobCL" w:eastAsia="Times New Roman" w:hAnsi="gobCL" w:cs="Calibri"/>
                <w:b/>
                <w:bCs/>
                <w:color w:val="000000"/>
                <w:lang w:eastAsia="es-CL"/>
              </w:rPr>
            </w:pPr>
            <w:r w:rsidRPr="00133D39">
              <w:rPr>
                <w:rFonts w:eastAsia="Times New Roman" w:cs="Calibri"/>
                <w:b/>
                <w:bCs/>
                <w:color w:val="000000"/>
                <w:lang w:eastAsia="es-CL"/>
              </w:rPr>
              <w:t>Alta</w:t>
            </w:r>
          </w:p>
        </w:tc>
        <w:tc>
          <w:tcPr>
            <w:tcW w:w="1250" w:type="pct"/>
            <w:tcBorders>
              <w:top w:val="single" w:sz="4" w:space="0" w:color="auto"/>
              <w:left w:val="nil"/>
              <w:bottom w:val="single" w:sz="4" w:space="0" w:color="auto"/>
              <w:right w:val="nil"/>
            </w:tcBorders>
            <w:shd w:val="clear" w:color="000000" w:fill="FFFFFF"/>
            <w:vAlign w:val="center"/>
            <w:hideMark/>
          </w:tcPr>
          <w:p w14:paraId="20EAAC8A" w14:textId="3507EE3B" w:rsidR="00144D7E" w:rsidRPr="00133D39" w:rsidRDefault="00144D7E" w:rsidP="001C2E2E">
            <w:pPr>
              <w:spacing w:after="0"/>
              <w:jc w:val="center"/>
              <w:rPr>
                <w:rFonts w:ascii="gobCL" w:eastAsia="Times New Roman" w:hAnsi="gobCL" w:cs="Calibri"/>
                <w:b/>
                <w:bCs/>
                <w:color w:val="000000"/>
                <w:lang w:eastAsia="es-CL"/>
              </w:rPr>
            </w:pPr>
            <w:r w:rsidRPr="00133D39">
              <w:rPr>
                <w:rFonts w:ascii="gobCL" w:eastAsia="Times New Roman" w:hAnsi="gobCL" w:cs="Calibri"/>
                <w:b/>
                <w:bCs/>
                <w:color w:val="000000"/>
                <w:lang w:eastAsia="es-CL"/>
              </w:rPr>
              <w:t>En aislamiento</w:t>
            </w:r>
          </w:p>
        </w:tc>
        <w:tc>
          <w:tcPr>
            <w:tcW w:w="1250" w:type="pct"/>
            <w:tcBorders>
              <w:top w:val="single" w:sz="4" w:space="0" w:color="auto"/>
              <w:left w:val="nil"/>
              <w:bottom w:val="single" w:sz="4" w:space="0" w:color="auto"/>
              <w:right w:val="nil"/>
            </w:tcBorders>
            <w:shd w:val="clear" w:color="000000" w:fill="FFFFFF"/>
            <w:vAlign w:val="center"/>
            <w:hideMark/>
          </w:tcPr>
          <w:p w14:paraId="65E9F535" w14:textId="6C0D673F" w:rsidR="00144D7E" w:rsidRPr="00133D39" w:rsidRDefault="00144D7E" w:rsidP="001C2E2E">
            <w:pPr>
              <w:spacing w:after="0"/>
              <w:jc w:val="center"/>
              <w:rPr>
                <w:rFonts w:ascii="gobCL" w:eastAsia="Times New Roman" w:hAnsi="gobCL" w:cs="Calibri"/>
                <w:b/>
                <w:bCs/>
                <w:color w:val="000000"/>
                <w:lang w:eastAsia="es-CL"/>
              </w:rPr>
            </w:pPr>
            <w:r w:rsidRPr="00133D39">
              <w:rPr>
                <w:rFonts w:ascii="gobCL" w:eastAsia="Times New Roman" w:hAnsi="gobCL" w:cs="Calibri"/>
                <w:b/>
                <w:bCs/>
                <w:color w:val="000000"/>
                <w:lang w:eastAsia="es-CL"/>
              </w:rPr>
              <w:t>Total</w:t>
            </w:r>
          </w:p>
        </w:tc>
      </w:tr>
      <w:tr w:rsidR="00144D7E" w:rsidRPr="00133D39" w14:paraId="084CDD23" w14:textId="77777777" w:rsidTr="00144D7E">
        <w:trPr>
          <w:trHeight w:val="300"/>
          <w:jc w:val="center"/>
        </w:trPr>
        <w:tc>
          <w:tcPr>
            <w:tcW w:w="1250" w:type="pct"/>
            <w:tcBorders>
              <w:top w:val="nil"/>
              <w:left w:val="nil"/>
              <w:bottom w:val="nil"/>
              <w:right w:val="nil"/>
            </w:tcBorders>
            <w:shd w:val="clear" w:color="000000" w:fill="FFFFFF"/>
            <w:vAlign w:val="center"/>
            <w:hideMark/>
          </w:tcPr>
          <w:p w14:paraId="171803EB" w14:textId="793D7626" w:rsidR="00144D7E" w:rsidRPr="00133D39" w:rsidRDefault="00144D7E" w:rsidP="00144D7E">
            <w:pPr>
              <w:spacing w:after="0"/>
              <w:rPr>
                <w:rFonts w:ascii="gobCL" w:eastAsia="Times New Roman" w:hAnsi="gobCL" w:cs="Calibri"/>
                <w:color w:val="000000"/>
                <w:lang w:eastAsia="es-CL"/>
              </w:rPr>
            </w:pPr>
            <w:r w:rsidRPr="00133D39">
              <w:rPr>
                <w:rFonts w:eastAsia="Times New Roman" w:cs="Calibri"/>
                <w:color w:val="000000"/>
                <w:lang w:eastAsia="es-CL"/>
              </w:rPr>
              <w:t>Probables</w:t>
            </w:r>
          </w:p>
        </w:tc>
        <w:tc>
          <w:tcPr>
            <w:tcW w:w="1250" w:type="pct"/>
            <w:tcBorders>
              <w:top w:val="nil"/>
              <w:left w:val="nil"/>
              <w:bottom w:val="nil"/>
              <w:right w:val="nil"/>
            </w:tcBorders>
            <w:shd w:val="clear" w:color="000000" w:fill="FFFFFF"/>
            <w:vAlign w:val="center"/>
          </w:tcPr>
          <w:p w14:paraId="0F5B1F86" w14:textId="1455B3A9" w:rsidR="00144D7E" w:rsidRPr="00133D39" w:rsidRDefault="00133D39" w:rsidP="00144D7E">
            <w:pPr>
              <w:spacing w:after="0"/>
              <w:jc w:val="center"/>
              <w:rPr>
                <w:rFonts w:ascii="gobCL" w:eastAsia="Times New Roman" w:hAnsi="gobCL" w:cs="Calibri"/>
                <w:color w:val="000000"/>
                <w:lang w:eastAsia="es-CL"/>
              </w:rPr>
            </w:pPr>
            <w:r w:rsidRPr="00133D39">
              <w:rPr>
                <w:rFonts w:ascii="gobCL" w:eastAsia="Times New Roman" w:hAnsi="gobCL" w:cs="Calibri"/>
                <w:color w:val="000000"/>
                <w:lang w:eastAsia="es-CL"/>
              </w:rPr>
              <w:t>4</w:t>
            </w:r>
          </w:p>
        </w:tc>
        <w:tc>
          <w:tcPr>
            <w:tcW w:w="1250" w:type="pct"/>
            <w:tcBorders>
              <w:top w:val="nil"/>
              <w:left w:val="nil"/>
              <w:bottom w:val="nil"/>
              <w:right w:val="nil"/>
            </w:tcBorders>
            <w:shd w:val="clear" w:color="000000" w:fill="FFFFFF"/>
            <w:vAlign w:val="center"/>
          </w:tcPr>
          <w:p w14:paraId="35D5004B" w14:textId="4BA1AC44" w:rsidR="00144D7E" w:rsidRPr="00133D39" w:rsidRDefault="00133D39" w:rsidP="00144D7E">
            <w:pPr>
              <w:spacing w:after="0"/>
              <w:jc w:val="center"/>
              <w:rPr>
                <w:rFonts w:ascii="gobCL" w:eastAsia="Times New Roman" w:hAnsi="gobCL" w:cs="Calibri"/>
                <w:color w:val="000000"/>
                <w:lang w:eastAsia="es-CL"/>
              </w:rPr>
            </w:pPr>
            <w:r w:rsidRPr="00133D39">
              <w:rPr>
                <w:rFonts w:ascii="gobCL" w:eastAsia="Times New Roman" w:hAnsi="gobCL" w:cs="Calibri"/>
                <w:color w:val="000000"/>
                <w:lang w:eastAsia="es-CL"/>
              </w:rPr>
              <w:t>11</w:t>
            </w:r>
          </w:p>
        </w:tc>
        <w:tc>
          <w:tcPr>
            <w:tcW w:w="1250" w:type="pct"/>
            <w:tcBorders>
              <w:top w:val="nil"/>
              <w:left w:val="nil"/>
              <w:bottom w:val="nil"/>
              <w:right w:val="nil"/>
            </w:tcBorders>
            <w:shd w:val="clear" w:color="000000" w:fill="FFFFFF"/>
            <w:vAlign w:val="center"/>
          </w:tcPr>
          <w:p w14:paraId="477901F5" w14:textId="6025ED36" w:rsidR="00144D7E" w:rsidRPr="00133D39" w:rsidRDefault="006B4562" w:rsidP="00144D7E">
            <w:pPr>
              <w:spacing w:after="0"/>
              <w:jc w:val="center"/>
              <w:rPr>
                <w:rFonts w:ascii="gobCL" w:eastAsia="Times New Roman" w:hAnsi="gobCL" w:cs="Calibri"/>
                <w:b/>
                <w:bCs/>
                <w:color w:val="000000"/>
                <w:lang w:eastAsia="es-CL"/>
              </w:rPr>
            </w:pPr>
            <w:r w:rsidRPr="00133D39">
              <w:rPr>
                <w:rFonts w:cs="Calibri"/>
                <w:b/>
                <w:bCs/>
                <w:color w:val="000000"/>
              </w:rPr>
              <w:t>15</w:t>
            </w:r>
          </w:p>
        </w:tc>
      </w:tr>
      <w:tr w:rsidR="00144D7E" w:rsidRPr="00133D39" w14:paraId="7AFA7DD5" w14:textId="77777777" w:rsidTr="00144D7E">
        <w:trPr>
          <w:trHeight w:val="300"/>
          <w:jc w:val="center"/>
        </w:trPr>
        <w:tc>
          <w:tcPr>
            <w:tcW w:w="1250" w:type="pct"/>
            <w:tcBorders>
              <w:top w:val="nil"/>
              <w:left w:val="nil"/>
              <w:bottom w:val="nil"/>
              <w:right w:val="nil"/>
            </w:tcBorders>
            <w:shd w:val="clear" w:color="000000" w:fill="FFFFFF"/>
            <w:vAlign w:val="center"/>
            <w:hideMark/>
          </w:tcPr>
          <w:p w14:paraId="07CC45FC" w14:textId="155F57BC" w:rsidR="00144D7E" w:rsidRPr="00133D39" w:rsidRDefault="00144D7E" w:rsidP="00144D7E">
            <w:pPr>
              <w:spacing w:after="0"/>
              <w:rPr>
                <w:rFonts w:ascii="gobCL" w:eastAsia="Times New Roman" w:hAnsi="gobCL" w:cs="Calibri"/>
                <w:color w:val="000000"/>
                <w:lang w:eastAsia="es-CL"/>
              </w:rPr>
            </w:pPr>
            <w:r w:rsidRPr="00133D39">
              <w:rPr>
                <w:rFonts w:eastAsia="Times New Roman" w:cs="Calibri"/>
                <w:color w:val="000000"/>
                <w:lang w:eastAsia="es-CL"/>
              </w:rPr>
              <w:t>Confirmados</w:t>
            </w:r>
          </w:p>
        </w:tc>
        <w:tc>
          <w:tcPr>
            <w:tcW w:w="1250" w:type="pct"/>
            <w:tcBorders>
              <w:top w:val="nil"/>
              <w:left w:val="nil"/>
              <w:bottom w:val="nil"/>
              <w:right w:val="nil"/>
            </w:tcBorders>
            <w:shd w:val="clear" w:color="000000" w:fill="FFFFFF"/>
            <w:vAlign w:val="center"/>
          </w:tcPr>
          <w:p w14:paraId="42A585DA" w14:textId="5E6F4F4B" w:rsidR="00144D7E" w:rsidRPr="00133D39" w:rsidRDefault="00133D39" w:rsidP="00144D7E">
            <w:pPr>
              <w:spacing w:after="0"/>
              <w:jc w:val="center"/>
              <w:rPr>
                <w:rFonts w:ascii="gobCL" w:eastAsia="Times New Roman" w:hAnsi="gobCL" w:cs="Calibri"/>
                <w:color w:val="000000"/>
                <w:lang w:eastAsia="es-CL"/>
              </w:rPr>
            </w:pPr>
            <w:r w:rsidRPr="00133D39">
              <w:rPr>
                <w:rFonts w:ascii="gobCL" w:eastAsia="Times New Roman" w:hAnsi="gobCL" w:cs="Calibri"/>
                <w:color w:val="000000"/>
                <w:lang w:eastAsia="es-CL"/>
              </w:rPr>
              <w:t>501</w:t>
            </w:r>
          </w:p>
        </w:tc>
        <w:tc>
          <w:tcPr>
            <w:tcW w:w="1250" w:type="pct"/>
            <w:tcBorders>
              <w:top w:val="nil"/>
              <w:left w:val="nil"/>
              <w:bottom w:val="nil"/>
              <w:right w:val="nil"/>
            </w:tcBorders>
            <w:shd w:val="clear" w:color="000000" w:fill="FFFFFF"/>
            <w:vAlign w:val="center"/>
          </w:tcPr>
          <w:p w14:paraId="630CC39A" w14:textId="42284791" w:rsidR="00133D39" w:rsidRPr="00133D39" w:rsidRDefault="00133D39" w:rsidP="00133D39">
            <w:pPr>
              <w:spacing w:after="0"/>
              <w:jc w:val="center"/>
              <w:rPr>
                <w:rFonts w:ascii="gobCL" w:eastAsia="Times New Roman" w:hAnsi="gobCL" w:cs="Calibri"/>
                <w:color w:val="000000"/>
                <w:lang w:eastAsia="es-CL"/>
              </w:rPr>
            </w:pPr>
            <w:r w:rsidRPr="00133D39">
              <w:rPr>
                <w:rFonts w:ascii="gobCL" w:eastAsia="Times New Roman" w:hAnsi="gobCL" w:cs="Calibri"/>
                <w:color w:val="000000"/>
                <w:lang w:eastAsia="es-CL"/>
              </w:rPr>
              <w:t>577</w:t>
            </w:r>
          </w:p>
        </w:tc>
        <w:tc>
          <w:tcPr>
            <w:tcW w:w="1250" w:type="pct"/>
            <w:tcBorders>
              <w:top w:val="nil"/>
              <w:left w:val="nil"/>
              <w:bottom w:val="nil"/>
              <w:right w:val="nil"/>
            </w:tcBorders>
            <w:shd w:val="clear" w:color="000000" w:fill="FFFFFF"/>
            <w:vAlign w:val="center"/>
          </w:tcPr>
          <w:p w14:paraId="7BB8C8C1" w14:textId="26E4EC32" w:rsidR="00144D7E" w:rsidRPr="00133D39" w:rsidRDefault="00330129" w:rsidP="00144D7E">
            <w:pPr>
              <w:spacing w:after="0"/>
              <w:jc w:val="center"/>
              <w:rPr>
                <w:rFonts w:ascii="gobCL" w:eastAsia="Times New Roman" w:hAnsi="gobCL" w:cs="Calibri"/>
                <w:b/>
                <w:bCs/>
                <w:color w:val="000000"/>
                <w:lang w:eastAsia="es-CL"/>
              </w:rPr>
            </w:pPr>
            <w:r w:rsidRPr="00133D39">
              <w:rPr>
                <w:rFonts w:cs="Calibri"/>
                <w:b/>
                <w:bCs/>
                <w:color w:val="000000"/>
              </w:rPr>
              <w:t>1078</w:t>
            </w:r>
          </w:p>
        </w:tc>
      </w:tr>
      <w:tr w:rsidR="00144D7E" w:rsidRPr="00133D39" w14:paraId="3CADE986" w14:textId="77777777" w:rsidTr="006B4562">
        <w:trPr>
          <w:trHeight w:val="300"/>
          <w:jc w:val="center"/>
        </w:trPr>
        <w:tc>
          <w:tcPr>
            <w:tcW w:w="1250" w:type="pct"/>
            <w:tcBorders>
              <w:top w:val="nil"/>
              <w:left w:val="nil"/>
              <w:bottom w:val="single" w:sz="4" w:space="0" w:color="auto"/>
              <w:right w:val="nil"/>
            </w:tcBorders>
            <w:shd w:val="clear" w:color="000000" w:fill="FFFFFF"/>
            <w:vAlign w:val="center"/>
            <w:hideMark/>
          </w:tcPr>
          <w:p w14:paraId="76BA5FF8" w14:textId="3C2EF4A7" w:rsidR="00144D7E" w:rsidRPr="00133D39" w:rsidRDefault="00144D7E" w:rsidP="00144D7E">
            <w:pPr>
              <w:spacing w:after="0"/>
              <w:rPr>
                <w:rFonts w:ascii="gobCL" w:eastAsia="Times New Roman" w:hAnsi="gobCL" w:cs="Calibri"/>
                <w:color w:val="000000"/>
                <w:lang w:eastAsia="es-CL"/>
              </w:rPr>
            </w:pPr>
            <w:r w:rsidRPr="00133D39">
              <w:rPr>
                <w:rFonts w:eastAsia="Times New Roman" w:cs="Calibri"/>
                <w:color w:val="000000"/>
                <w:lang w:eastAsia="es-CL"/>
              </w:rPr>
              <w:t>Total</w:t>
            </w:r>
          </w:p>
        </w:tc>
        <w:tc>
          <w:tcPr>
            <w:tcW w:w="1250" w:type="pct"/>
            <w:tcBorders>
              <w:top w:val="nil"/>
              <w:left w:val="nil"/>
              <w:bottom w:val="single" w:sz="4" w:space="0" w:color="auto"/>
              <w:right w:val="nil"/>
            </w:tcBorders>
            <w:shd w:val="clear" w:color="000000" w:fill="FFFFFF"/>
            <w:vAlign w:val="center"/>
          </w:tcPr>
          <w:p w14:paraId="67009637" w14:textId="18AECCA7" w:rsidR="00144D7E" w:rsidRPr="00133D39" w:rsidRDefault="00133D39" w:rsidP="00144D7E">
            <w:pPr>
              <w:spacing w:after="0"/>
              <w:jc w:val="center"/>
              <w:rPr>
                <w:rFonts w:ascii="gobCL" w:eastAsia="Times New Roman" w:hAnsi="gobCL" w:cs="Calibri"/>
                <w:color w:val="000000"/>
                <w:lang w:eastAsia="es-CL"/>
              </w:rPr>
            </w:pPr>
            <w:r w:rsidRPr="00133D39">
              <w:rPr>
                <w:rFonts w:ascii="gobCL" w:eastAsia="Times New Roman" w:hAnsi="gobCL" w:cs="Calibri"/>
                <w:color w:val="000000"/>
                <w:lang w:eastAsia="es-CL"/>
              </w:rPr>
              <w:t>505</w:t>
            </w:r>
          </w:p>
        </w:tc>
        <w:tc>
          <w:tcPr>
            <w:tcW w:w="1250" w:type="pct"/>
            <w:tcBorders>
              <w:top w:val="nil"/>
              <w:left w:val="nil"/>
              <w:bottom w:val="single" w:sz="4" w:space="0" w:color="auto"/>
              <w:right w:val="nil"/>
            </w:tcBorders>
            <w:shd w:val="clear" w:color="000000" w:fill="FFFFFF"/>
            <w:vAlign w:val="center"/>
          </w:tcPr>
          <w:p w14:paraId="1C8FB631" w14:textId="7CD1308B" w:rsidR="00144D7E" w:rsidRPr="00133D39" w:rsidRDefault="00133D39" w:rsidP="00144D7E">
            <w:pPr>
              <w:spacing w:after="0"/>
              <w:jc w:val="center"/>
              <w:rPr>
                <w:rFonts w:ascii="gobCL" w:eastAsia="Times New Roman" w:hAnsi="gobCL" w:cs="Calibri"/>
                <w:color w:val="000000"/>
                <w:lang w:eastAsia="es-CL"/>
              </w:rPr>
            </w:pPr>
            <w:r w:rsidRPr="00133D39">
              <w:rPr>
                <w:rFonts w:ascii="gobCL" w:eastAsia="Times New Roman" w:hAnsi="gobCL" w:cs="Calibri"/>
                <w:color w:val="000000"/>
                <w:lang w:eastAsia="es-CL"/>
              </w:rPr>
              <w:t>588</w:t>
            </w:r>
          </w:p>
        </w:tc>
        <w:tc>
          <w:tcPr>
            <w:tcW w:w="1250" w:type="pct"/>
            <w:tcBorders>
              <w:top w:val="nil"/>
              <w:left w:val="nil"/>
              <w:bottom w:val="single" w:sz="4" w:space="0" w:color="auto"/>
              <w:right w:val="nil"/>
            </w:tcBorders>
            <w:shd w:val="clear" w:color="000000" w:fill="FFFFFF"/>
            <w:vAlign w:val="center"/>
          </w:tcPr>
          <w:p w14:paraId="504D3317" w14:textId="63904693" w:rsidR="00144D7E" w:rsidRPr="00133D39" w:rsidRDefault="00330129" w:rsidP="00144D7E">
            <w:pPr>
              <w:spacing w:after="0"/>
              <w:jc w:val="center"/>
              <w:rPr>
                <w:rFonts w:ascii="gobCL" w:eastAsia="Times New Roman" w:hAnsi="gobCL" w:cs="Calibri"/>
                <w:b/>
                <w:bCs/>
                <w:color w:val="000000"/>
                <w:lang w:eastAsia="es-CL"/>
              </w:rPr>
            </w:pPr>
            <w:r w:rsidRPr="00133D39">
              <w:rPr>
                <w:rFonts w:cs="Calibri"/>
                <w:b/>
                <w:bCs/>
                <w:color w:val="000000"/>
              </w:rPr>
              <w:t>1093</w:t>
            </w:r>
          </w:p>
        </w:tc>
      </w:tr>
    </w:tbl>
    <w:p w14:paraId="7BF7986A" w14:textId="77777777" w:rsidR="0064098F" w:rsidRPr="00133D39" w:rsidRDefault="0064098F" w:rsidP="009A373B">
      <w:pPr>
        <w:spacing w:after="0" w:line="360" w:lineRule="auto"/>
        <w:rPr>
          <w:rFonts w:ascii="gobCL" w:hAnsi="gobCL"/>
          <w:sz w:val="20"/>
          <w:szCs w:val="20"/>
        </w:rPr>
      </w:pPr>
    </w:p>
    <w:p w14:paraId="53ABB8E5" w14:textId="20A47161" w:rsidR="00717EFC" w:rsidRPr="00133D39" w:rsidRDefault="00717EFC" w:rsidP="00D75AAC">
      <w:pPr>
        <w:spacing w:after="0"/>
        <w:rPr>
          <w:rFonts w:ascii="gobCL" w:hAnsi="gobCL"/>
          <w:sz w:val="18"/>
          <w:szCs w:val="18"/>
        </w:rPr>
      </w:pPr>
      <w:r w:rsidRPr="00133D39">
        <w:rPr>
          <w:rFonts w:ascii="gobCL" w:hAnsi="gobCL"/>
          <w:sz w:val="18"/>
          <w:szCs w:val="18"/>
        </w:rPr>
        <w:t>Fuente</w:t>
      </w:r>
      <w:r w:rsidR="00893421" w:rsidRPr="00133D39">
        <w:rPr>
          <w:rFonts w:ascii="gobCL" w:hAnsi="gobCL"/>
          <w:sz w:val="18"/>
          <w:szCs w:val="18"/>
        </w:rPr>
        <w:t>:</w:t>
      </w:r>
      <w:r w:rsidRPr="00133D39">
        <w:rPr>
          <w:rFonts w:ascii="gobCL" w:hAnsi="gobCL"/>
          <w:sz w:val="18"/>
          <w:szCs w:val="18"/>
        </w:rPr>
        <w:t xml:space="preserve"> Departamento de Epidemiología. Ministerio de Salud de Chile.</w:t>
      </w:r>
    </w:p>
    <w:p w14:paraId="7DE109EC" w14:textId="5F9E6822" w:rsidR="00717EFC" w:rsidRPr="003241A2" w:rsidRDefault="00717EFC" w:rsidP="00D75AAC">
      <w:pPr>
        <w:spacing w:after="0"/>
        <w:rPr>
          <w:rFonts w:ascii="gobCL" w:hAnsi="gobCL"/>
          <w:sz w:val="18"/>
          <w:szCs w:val="18"/>
        </w:rPr>
      </w:pPr>
      <w:r w:rsidRPr="00133D39">
        <w:rPr>
          <w:rFonts w:ascii="gobCL" w:hAnsi="gobCL"/>
          <w:sz w:val="18"/>
          <w:szCs w:val="18"/>
        </w:rPr>
        <w:t>Datos provisorios en proceso de validación</w:t>
      </w:r>
      <w:r w:rsidR="00D75AAC" w:rsidRPr="00133D39">
        <w:rPr>
          <w:rFonts w:ascii="gobCL" w:hAnsi="gobCL"/>
          <w:sz w:val="18"/>
          <w:szCs w:val="18"/>
        </w:rPr>
        <w:t>.</w:t>
      </w:r>
    </w:p>
    <w:p w14:paraId="62B692FD" w14:textId="77777777" w:rsidR="00751FC6" w:rsidRDefault="00751FC6">
      <w:pPr>
        <w:rPr>
          <w:rFonts w:ascii="gobCL" w:hAnsi="gobCL"/>
        </w:rPr>
      </w:pPr>
    </w:p>
    <w:p w14:paraId="41107501" w14:textId="77777777" w:rsidR="00751FC6" w:rsidRDefault="00751FC6" w:rsidP="00751FC6">
      <w:pPr>
        <w:spacing w:line="360" w:lineRule="auto"/>
        <w:rPr>
          <w:rFonts w:ascii="gobCL" w:hAnsi="gobCL"/>
        </w:rPr>
      </w:pPr>
    </w:p>
    <w:p w14:paraId="7AF526D4" w14:textId="5989D066" w:rsidR="00751FC6" w:rsidRDefault="00751FC6" w:rsidP="00751FC6">
      <w:pPr>
        <w:spacing w:line="360" w:lineRule="auto"/>
        <w:rPr>
          <w:rFonts w:ascii="gobCL" w:eastAsia="Times New Roman" w:hAnsi="gobCL" w:cs="Calibri"/>
          <w:lang w:eastAsia="es-CL"/>
        </w:rPr>
      </w:pPr>
      <w:r>
        <w:rPr>
          <w:rFonts w:ascii="gobCL" w:eastAsia="Times New Roman" w:hAnsi="gobCL" w:cs="Calibri"/>
          <w:lang w:eastAsia="es-CL"/>
        </w:rPr>
        <w:t xml:space="preserve"> </w:t>
      </w:r>
    </w:p>
    <w:p w14:paraId="3D0FD4A1" w14:textId="4C299F1F" w:rsidR="00751FC6" w:rsidRPr="00751FC6" w:rsidRDefault="008029E7">
      <w:pPr>
        <w:rPr>
          <w:rFonts w:ascii="gobCL" w:eastAsia="Times New Roman" w:hAnsi="gobCL" w:cs="Calibri"/>
          <w:lang w:eastAsia="es-CL"/>
        </w:rPr>
      </w:pPr>
      <w:r w:rsidRPr="003241A2">
        <w:rPr>
          <w:rFonts w:ascii="gobCL" w:hAnsi="gobCL"/>
        </w:rPr>
        <w:br w:type="page"/>
      </w:r>
    </w:p>
    <w:p w14:paraId="79D1194C" w14:textId="417A5230" w:rsidR="00AC0A6E" w:rsidRPr="001E7C13" w:rsidRDefault="00717EFC" w:rsidP="001E7C13">
      <w:pPr>
        <w:spacing w:after="0" w:line="360" w:lineRule="auto"/>
        <w:jc w:val="center"/>
        <w:rPr>
          <w:rFonts w:ascii="gobCL" w:hAnsi="gobCL"/>
          <w:b/>
          <w:bCs/>
          <w:sz w:val="24"/>
          <w:szCs w:val="24"/>
        </w:rPr>
      </w:pPr>
      <w:r w:rsidRPr="00D925EB">
        <w:rPr>
          <w:rFonts w:ascii="gobCL" w:hAnsi="gobCL"/>
          <w:b/>
          <w:bCs/>
          <w:sz w:val="24"/>
          <w:szCs w:val="24"/>
        </w:rPr>
        <w:lastRenderedPageBreak/>
        <w:t xml:space="preserve">Figura 1: Casos confirmados y probables de viruela del mono según semana epidemiológica de inicio de síntomas. Chile, al </w:t>
      </w:r>
      <w:r w:rsidR="00160296" w:rsidRPr="00D925EB">
        <w:rPr>
          <w:rFonts w:ascii="gobCL" w:hAnsi="gobCL"/>
          <w:b/>
          <w:bCs/>
          <w:sz w:val="24"/>
          <w:szCs w:val="24"/>
        </w:rPr>
        <w:t>13</w:t>
      </w:r>
      <w:r w:rsidR="00A36687" w:rsidRPr="00D925EB">
        <w:rPr>
          <w:rFonts w:ascii="gobCL" w:hAnsi="gobCL"/>
          <w:b/>
          <w:bCs/>
          <w:sz w:val="24"/>
          <w:szCs w:val="24"/>
        </w:rPr>
        <w:t xml:space="preserve"> de octubre</w:t>
      </w:r>
      <w:r w:rsidR="00C71D2A" w:rsidRPr="00D925EB">
        <w:rPr>
          <w:rFonts w:ascii="gobCL" w:hAnsi="gobCL"/>
          <w:b/>
          <w:bCs/>
          <w:sz w:val="24"/>
          <w:szCs w:val="24"/>
        </w:rPr>
        <w:t xml:space="preserve"> </w:t>
      </w:r>
      <w:r w:rsidRPr="00D925EB">
        <w:rPr>
          <w:rFonts w:ascii="gobCL" w:hAnsi="gobCL"/>
          <w:b/>
          <w:bCs/>
          <w:sz w:val="24"/>
          <w:szCs w:val="24"/>
        </w:rPr>
        <w:t>de 2022.</w:t>
      </w:r>
    </w:p>
    <w:p w14:paraId="0B02299C" w14:textId="77777777" w:rsidR="00C33022" w:rsidRDefault="00C33022" w:rsidP="00893421">
      <w:pPr>
        <w:spacing w:after="0"/>
        <w:rPr>
          <w:rFonts w:ascii="gobCL" w:hAnsi="gobCL"/>
          <w:sz w:val="18"/>
          <w:szCs w:val="18"/>
          <w:highlight w:val="green"/>
        </w:rPr>
      </w:pPr>
    </w:p>
    <w:p w14:paraId="2E706CB1" w14:textId="18DF1B3E" w:rsidR="001E7C13" w:rsidRDefault="006034FA" w:rsidP="00893421">
      <w:pPr>
        <w:spacing w:after="0"/>
        <w:rPr>
          <w:rFonts w:ascii="gobCL" w:hAnsi="gobCL"/>
          <w:sz w:val="18"/>
          <w:szCs w:val="18"/>
          <w:highlight w:val="green"/>
        </w:rPr>
      </w:pPr>
      <w:r>
        <w:rPr>
          <w:noProof/>
          <w:lang w:eastAsia="es-CL"/>
        </w:rPr>
        <w:drawing>
          <wp:inline distT="0" distB="0" distL="0" distR="0" wp14:anchorId="4224E2F4" wp14:editId="02173EA4">
            <wp:extent cx="6415430" cy="3148192"/>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25498" cy="3153132"/>
                    </a:xfrm>
                    <a:prstGeom prst="rect">
                      <a:avLst/>
                    </a:prstGeom>
                  </pic:spPr>
                </pic:pic>
              </a:graphicData>
            </a:graphic>
          </wp:inline>
        </w:drawing>
      </w:r>
    </w:p>
    <w:p w14:paraId="5F8E6F77" w14:textId="77777777" w:rsidR="00764DE7" w:rsidRDefault="00764DE7" w:rsidP="00893421">
      <w:pPr>
        <w:spacing w:after="0"/>
        <w:rPr>
          <w:rFonts w:ascii="gobCL" w:hAnsi="gobCL"/>
          <w:sz w:val="18"/>
          <w:szCs w:val="18"/>
        </w:rPr>
      </w:pPr>
    </w:p>
    <w:p w14:paraId="73C38FCC" w14:textId="2E2DE889" w:rsidR="00717EFC" w:rsidRPr="00D925EB" w:rsidRDefault="00717EFC" w:rsidP="00893421">
      <w:pPr>
        <w:spacing w:after="0"/>
        <w:rPr>
          <w:rFonts w:ascii="gobCL" w:hAnsi="gobCL"/>
          <w:sz w:val="18"/>
          <w:szCs w:val="18"/>
        </w:rPr>
      </w:pPr>
      <w:r w:rsidRPr="00D925EB">
        <w:rPr>
          <w:rFonts w:ascii="gobCL" w:hAnsi="gobCL"/>
          <w:sz w:val="18"/>
          <w:szCs w:val="18"/>
        </w:rPr>
        <w:t>Fuente</w:t>
      </w:r>
      <w:r w:rsidR="00893421" w:rsidRPr="00D925EB">
        <w:rPr>
          <w:rFonts w:ascii="gobCL" w:hAnsi="gobCL"/>
          <w:sz w:val="18"/>
          <w:szCs w:val="18"/>
        </w:rPr>
        <w:t>:</w:t>
      </w:r>
      <w:r w:rsidRPr="00D925EB">
        <w:rPr>
          <w:rFonts w:ascii="gobCL" w:hAnsi="gobCL"/>
          <w:sz w:val="18"/>
          <w:szCs w:val="18"/>
        </w:rPr>
        <w:t xml:space="preserve"> Departamento de Epidemiología. Ministerio de Salud de Chile.</w:t>
      </w:r>
    </w:p>
    <w:p w14:paraId="3070822A" w14:textId="3BBD782B" w:rsidR="00717EFC" w:rsidRPr="00D925EB" w:rsidRDefault="00717EFC" w:rsidP="00893421">
      <w:pPr>
        <w:spacing w:after="0"/>
        <w:rPr>
          <w:rFonts w:ascii="gobCL" w:hAnsi="gobCL"/>
          <w:sz w:val="18"/>
          <w:szCs w:val="18"/>
        </w:rPr>
      </w:pPr>
      <w:r w:rsidRPr="00D925EB">
        <w:rPr>
          <w:rFonts w:ascii="gobCL" w:hAnsi="gobCL"/>
          <w:sz w:val="18"/>
          <w:szCs w:val="18"/>
        </w:rPr>
        <w:t>Datos provisorios en proceso de validación</w:t>
      </w:r>
      <w:r w:rsidR="00893421" w:rsidRPr="00D925EB">
        <w:rPr>
          <w:rFonts w:ascii="gobCL" w:hAnsi="gobCL"/>
          <w:sz w:val="18"/>
          <w:szCs w:val="18"/>
        </w:rPr>
        <w:t>.</w:t>
      </w:r>
    </w:p>
    <w:p w14:paraId="7CC19578" w14:textId="77777777" w:rsidR="000844CD" w:rsidRPr="00D925EB" w:rsidRDefault="000844CD" w:rsidP="009A373B">
      <w:pPr>
        <w:spacing w:after="0" w:line="360" w:lineRule="auto"/>
        <w:jc w:val="both"/>
        <w:rPr>
          <w:rFonts w:ascii="gobCL" w:hAnsi="gobCL"/>
          <w:b/>
          <w:bCs/>
          <w:sz w:val="28"/>
          <w:szCs w:val="28"/>
        </w:rPr>
      </w:pPr>
    </w:p>
    <w:p w14:paraId="673E653D" w14:textId="02A1302B" w:rsidR="00717EFC" w:rsidRPr="00D925EB" w:rsidRDefault="00717EFC" w:rsidP="009A373B">
      <w:pPr>
        <w:spacing w:after="0" w:line="360" w:lineRule="auto"/>
        <w:jc w:val="both"/>
        <w:rPr>
          <w:rFonts w:ascii="gobCL" w:hAnsi="gobCL"/>
          <w:b/>
          <w:bCs/>
          <w:sz w:val="28"/>
          <w:szCs w:val="28"/>
        </w:rPr>
      </w:pPr>
      <w:r w:rsidRPr="00D925EB">
        <w:rPr>
          <w:rFonts w:ascii="gobCL" w:hAnsi="gobCL"/>
          <w:b/>
          <w:bCs/>
          <w:sz w:val="28"/>
          <w:szCs w:val="28"/>
        </w:rPr>
        <w:t>Situación regional</w:t>
      </w:r>
    </w:p>
    <w:p w14:paraId="5FBEC926" w14:textId="77777777" w:rsidR="00717EFC" w:rsidRPr="00D925EB" w:rsidRDefault="00717EFC" w:rsidP="009A373B">
      <w:pPr>
        <w:spacing w:after="0" w:line="360" w:lineRule="auto"/>
        <w:jc w:val="both"/>
        <w:rPr>
          <w:rFonts w:ascii="gobCL" w:hAnsi="gobCL"/>
          <w:b/>
          <w:bCs/>
        </w:rPr>
      </w:pPr>
    </w:p>
    <w:p w14:paraId="3537978A" w14:textId="331393F5" w:rsidR="00717EFC" w:rsidRPr="00D925EB" w:rsidRDefault="001A2D26" w:rsidP="009A373B">
      <w:pPr>
        <w:spacing w:after="0" w:line="360" w:lineRule="auto"/>
        <w:jc w:val="both"/>
        <w:rPr>
          <w:rFonts w:ascii="gobCL" w:hAnsi="gobCL"/>
        </w:rPr>
      </w:pPr>
      <w:r w:rsidRPr="00D925EB">
        <w:rPr>
          <w:rFonts w:ascii="gobCL" w:hAnsi="gobCL"/>
        </w:rPr>
        <w:t xml:space="preserve">En </w:t>
      </w:r>
      <w:r w:rsidR="00634B57" w:rsidRPr="00D925EB">
        <w:rPr>
          <w:rFonts w:ascii="gobCL" w:hAnsi="gobCL"/>
        </w:rPr>
        <w:t>15</w:t>
      </w:r>
      <w:r w:rsidRPr="00D925EB">
        <w:rPr>
          <w:rFonts w:ascii="gobCL" w:hAnsi="gobCL"/>
        </w:rPr>
        <w:t xml:space="preserve"> de las 16 regiones del país, se presentaron casos, donde la región Metropolitana (RM) concentró el mayor porcentaje </w:t>
      </w:r>
      <w:r w:rsidR="00272CE7" w:rsidRPr="00D925EB">
        <w:rPr>
          <w:rFonts w:ascii="gobCL" w:hAnsi="gobCL"/>
        </w:rPr>
        <w:t>8</w:t>
      </w:r>
      <w:r w:rsidR="009058B7" w:rsidRPr="00D925EB">
        <w:rPr>
          <w:rFonts w:ascii="gobCL" w:hAnsi="gobCL"/>
        </w:rPr>
        <w:t>4</w:t>
      </w:r>
      <w:r w:rsidR="00717EFC" w:rsidRPr="00D925EB">
        <w:rPr>
          <w:rFonts w:ascii="gobCL" w:hAnsi="gobCL"/>
        </w:rPr>
        <w:t>,</w:t>
      </w:r>
      <w:r w:rsidR="009058B7" w:rsidRPr="00D925EB">
        <w:rPr>
          <w:rFonts w:ascii="gobCL" w:hAnsi="gobCL"/>
        </w:rPr>
        <w:t>9</w:t>
      </w:r>
      <w:r w:rsidR="00717EFC" w:rsidRPr="00D925EB">
        <w:rPr>
          <w:rFonts w:ascii="gobCL" w:hAnsi="gobCL"/>
        </w:rPr>
        <w:t>% (n=</w:t>
      </w:r>
      <w:r w:rsidR="007101AE" w:rsidRPr="00D925EB">
        <w:rPr>
          <w:rFonts w:ascii="gobCL" w:hAnsi="gobCL"/>
        </w:rPr>
        <w:t>928</w:t>
      </w:r>
      <w:r w:rsidR="00717EFC" w:rsidRPr="00D925EB">
        <w:rPr>
          <w:rFonts w:ascii="gobCL" w:hAnsi="gobCL"/>
        </w:rPr>
        <w:t>)</w:t>
      </w:r>
      <w:r w:rsidRPr="00D925EB">
        <w:rPr>
          <w:rFonts w:ascii="gobCL" w:hAnsi="gobCL"/>
        </w:rPr>
        <w:t xml:space="preserve">, seguida de </w:t>
      </w:r>
      <w:r w:rsidR="00717EFC" w:rsidRPr="00D925EB">
        <w:rPr>
          <w:rFonts w:ascii="gobCL" w:hAnsi="gobCL"/>
        </w:rPr>
        <w:t>la regi</w:t>
      </w:r>
      <w:r w:rsidRPr="00D925EB">
        <w:rPr>
          <w:rFonts w:ascii="gobCL" w:hAnsi="gobCL"/>
        </w:rPr>
        <w:t>ó</w:t>
      </w:r>
      <w:r w:rsidR="00717EFC" w:rsidRPr="00D925EB">
        <w:rPr>
          <w:rFonts w:ascii="gobCL" w:hAnsi="gobCL"/>
        </w:rPr>
        <w:t>n de Valparaíso</w:t>
      </w:r>
      <w:r w:rsidR="003F2F43" w:rsidRPr="00D925EB">
        <w:rPr>
          <w:rFonts w:ascii="gobCL" w:hAnsi="gobCL"/>
        </w:rPr>
        <w:t xml:space="preserve">, </w:t>
      </w:r>
      <w:r w:rsidR="00717EFC" w:rsidRPr="00D925EB">
        <w:rPr>
          <w:rFonts w:ascii="gobCL" w:hAnsi="gobCL"/>
        </w:rPr>
        <w:t>Antofagasta</w:t>
      </w:r>
      <w:r w:rsidR="001C3E4B" w:rsidRPr="00D925EB">
        <w:rPr>
          <w:rFonts w:ascii="gobCL" w:hAnsi="gobCL"/>
        </w:rPr>
        <w:t xml:space="preserve">, </w:t>
      </w:r>
      <w:r w:rsidR="003F2F43" w:rsidRPr="00D925EB">
        <w:rPr>
          <w:rFonts w:ascii="gobCL" w:hAnsi="gobCL"/>
        </w:rPr>
        <w:t xml:space="preserve">Coquimbo, </w:t>
      </w:r>
      <w:r w:rsidR="001C3E4B" w:rsidRPr="00D925EB">
        <w:rPr>
          <w:rFonts w:ascii="gobCL" w:hAnsi="gobCL"/>
        </w:rPr>
        <w:t xml:space="preserve">Biobío </w:t>
      </w:r>
      <w:r w:rsidR="00B47429" w:rsidRPr="00D925EB">
        <w:rPr>
          <w:rFonts w:ascii="gobCL" w:hAnsi="gobCL"/>
        </w:rPr>
        <w:t>y Araucanía</w:t>
      </w:r>
      <w:r w:rsidR="00717EFC" w:rsidRPr="00D925EB">
        <w:rPr>
          <w:rFonts w:ascii="gobCL" w:hAnsi="gobCL"/>
        </w:rPr>
        <w:t xml:space="preserve">. Otras regiones que han presentado casos </w:t>
      </w:r>
      <w:r w:rsidR="00054C26" w:rsidRPr="00D925EB">
        <w:rPr>
          <w:rFonts w:ascii="gobCL" w:hAnsi="gobCL"/>
        </w:rPr>
        <w:t>fueron:</w:t>
      </w:r>
      <w:r w:rsidR="00717EFC" w:rsidRPr="00D925EB">
        <w:rPr>
          <w:rFonts w:ascii="gobCL" w:hAnsi="gobCL"/>
        </w:rPr>
        <w:t xml:space="preserve"> O’Higgins, Maule, </w:t>
      </w:r>
      <w:r w:rsidR="003F2F43" w:rsidRPr="00D925EB">
        <w:rPr>
          <w:rFonts w:ascii="gobCL" w:hAnsi="gobCL"/>
        </w:rPr>
        <w:t>Ñuble</w:t>
      </w:r>
      <w:r w:rsidR="00717EFC" w:rsidRPr="00D925EB">
        <w:rPr>
          <w:rFonts w:ascii="gobCL" w:hAnsi="gobCL"/>
        </w:rPr>
        <w:t>, Los Ríos</w:t>
      </w:r>
      <w:r w:rsidR="00B47429" w:rsidRPr="00D925EB">
        <w:rPr>
          <w:rFonts w:ascii="gobCL" w:hAnsi="gobCL"/>
        </w:rPr>
        <w:t xml:space="preserve">, </w:t>
      </w:r>
      <w:r w:rsidR="00717EFC" w:rsidRPr="00D925EB">
        <w:rPr>
          <w:rFonts w:ascii="gobCL" w:hAnsi="gobCL"/>
        </w:rPr>
        <w:t>Los Lagos</w:t>
      </w:r>
      <w:r w:rsidR="001C3E4B" w:rsidRPr="00D925EB">
        <w:rPr>
          <w:rFonts w:ascii="gobCL" w:hAnsi="gobCL"/>
        </w:rPr>
        <w:t xml:space="preserve">, </w:t>
      </w:r>
      <w:r w:rsidR="00B62E06" w:rsidRPr="00D925EB">
        <w:rPr>
          <w:rFonts w:ascii="gobCL" w:hAnsi="gobCL"/>
        </w:rPr>
        <w:t>Tarapacá, Atacama</w:t>
      </w:r>
      <w:r w:rsidR="00DD35FA" w:rsidRPr="00D925EB">
        <w:rPr>
          <w:rFonts w:ascii="gobCL" w:hAnsi="gobCL"/>
        </w:rPr>
        <w:t xml:space="preserve">, </w:t>
      </w:r>
      <w:r w:rsidR="001C3E4B" w:rsidRPr="00D925EB">
        <w:rPr>
          <w:rFonts w:ascii="gobCL" w:hAnsi="gobCL"/>
        </w:rPr>
        <w:t xml:space="preserve">Arica </w:t>
      </w:r>
      <w:r w:rsidR="00DD35FA" w:rsidRPr="00D925EB">
        <w:rPr>
          <w:rFonts w:ascii="gobCL" w:hAnsi="gobCL"/>
        </w:rPr>
        <w:t xml:space="preserve">y Aysén </w:t>
      </w:r>
      <w:r w:rsidR="00717EFC" w:rsidRPr="00D925EB">
        <w:rPr>
          <w:rFonts w:ascii="gobCL" w:hAnsi="gobCL"/>
        </w:rPr>
        <w:t>(Tabla 2 y Figura 2</w:t>
      </w:r>
      <w:r w:rsidR="00484527" w:rsidRPr="00D925EB">
        <w:rPr>
          <w:rFonts w:ascii="gobCL" w:hAnsi="gobCL"/>
        </w:rPr>
        <w:t xml:space="preserve"> y 3</w:t>
      </w:r>
      <w:r w:rsidR="00717EFC" w:rsidRPr="00D925EB">
        <w:rPr>
          <w:rFonts w:ascii="gobCL" w:hAnsi="gobCL"/>
        </w:rPr>
        <w:t>)</w:t>
      </w:r>
      <w:r w:rsidR="00525F4A" w:rsidRPr="00D925EB">
        <w:rPr>
          <w:rFonts w:ascii="gobCL" w:hAnsi="gobCL"/>
        </w:rPr>
        <w:t>.</w:t>
      </w:r>
    </w:p>
    <w:p w14:paraId="30BD4FB7" w14:textId="77777777" w:rsidR="00717EFC" w:rsidRPr="00D925EB" w:rsidRDefault="00717EFC" w:rsidP="009A373B">
      <w:pPr>
        <w:spacing w:after="0" w:line="360" w:lineRule="auto"/>
        <w:jc w:val="both"/>
        <w:rPr>
          <w:rFonts w:ascii="gobCL" w:hAnsi="gobCL"/>
        </w:rPr>
      </w:pPr>
    </w:p>
    <w:p w14:paraId="69A7FD5D" w14:textId="121B74D4" w:rsidR="00717EFC" w:rsidRPr="00D925EB" w:rsidRDefault="00054C26" w:rsidP="009A373B">
      <w:pPr>
        <w:spacing w:after="0" w:line="360" w:lineRule="auto"/>
        <w:jc w:val="both"/>
        <w:rPr>
          <w:rFonts w:ascii="gobCL" w:hAnsi="gobCL"/>
        </w:rPr>
      </w:pPr>
      <w:r w:rsidRPr="00D925EB">
        <w:rPr>
          <w:rFonts w:ascii="gobCL" w:hAnsi="gobCL"/>
        </w:rPr>
        <w:t>En la RM, l</w:t>
      </w:r>
      <w:r w:rsidR="00717EFC" w:rsidRPr="00D925EB">
        <w:rPr>
          <w:rFonts w:ascii="gobCL" w:hAnsi="gobCL"/>
        </w:rPr>
        <w:t>a mayoría de los casos se concentraron en la zona urbana de la región, destacando la comuna de Santiago por ser la que presentó la mayor cantidad de casos (n=</w:t>
      </w:r>
      <w:r w:rsidR="00DF25CF" w:rsidRPr="00D925EB">
        <w:rPr>
          <w:rFonts w:ascii="gobCL" w:hAnsi="gobCL"/>
        </w:rPr>
        <w:t>3</w:t>
      </w:r>
      <w:r w:rsidR="008C5084" w:rsidRPr="00D925EB">
        <w:rPr>
          <w:rFonts w:ascii="gobCL" w:hAnsi="gobCL"/>
        </w:rPr>
        <w:t>6</w:t>
      </w:r>
      <w:r w:rsidR="00DF25CF" w:rsidRPr="00D925EB">
        <w:rPr>
          <w:rFonts w:ascii="gobCL" w:hAnsi="gobCL"/>
        </w:rPr>
        <w:t>1</w:t>
      </w:r>
      <w:r w:rsidR="00717EFC" w:rsidRPr="00D925EB">
        <w:rPr>
          <w:rFonts w:ascii="gobCL" w:hAnsi="gobCL"/>
        </w:rPr>
        <w:t>).</w:t>
      </w:r>
    </w:p>
    <w:p w14:paraId="6CAFC97A" w14:textId="77777777" w:rsidR="00717EFC" w:rsidRPr="00D925EB" w:rsidRDefault="00717EFC" w:rsidP="009A373B">
      <w:pPr>
        <w:spacing w:after="0" w:line="360" w:lineRule="auto"/>
        <w:jc w:val="both"/>
        <w:rPr>
          <w:rFonts w:ascii="gobCL" w:hAnsi="gobCL"/>
          <w:b/>
          <w:bCs/>
        </w:rPr>
      </w:pPr>
    </w:p>
    <w:p w14:paraId="3604C9CF" w14:textId="77777777" w:rsidR="00143CF1" w:rsidRDefault="00143CF1" w:rsidP="009A373B">
      <w:pPr>
        <w:spacing w:after="0" w:line="360" w:lineRule="auto"/>
        <w:jc w:val="both"/>
        <w:rPr>
          <w:rFonts w:ascii="gobCL" w:hAnsi="gobCL"/>
          <w:b/>
          <w:bCs/>
        </w:rPr>
      </w:pPr>
    </w:p>
    <w:p w14:paraId="6AD0A9DA" w14:textId="77777777" w:rsidR="00DE07A1" w:rsidRPr="00D925EB" w:rsidRDefault="00DE07A1" w:rsidP="009A373B">
      <w:pPr>
        <w:spacing w:after="0" w:line="360" w:lineRule="auto"/>
        <w:jc w:val="both"/>
        <w:rPr>
          <w:rFonts w:ascii="gobCL" w:hAnsi="gobCL"/>
          <w:b/>
          <w:bCs/>
        </w:rPr>
      </w:pPr>
    </w:p>
    <w:p w14:paraId="29EC153A" w14:textId="78D2D3A2" w:rsidR="00717EFC" w:rsidRPr="00D925EB" w:rsidRDefault="00717EFC" w:rsidP="009A373B">
      <w:pPr>
        <w:spacing w:after="0" w:line="360" w:lineRule="auto"/>
        <w:jc w:val="center"/>
        <w:rPr>
          <w:rFonts w:ascii="gobCL" w:hAnsi="gobCL"/>
          <w:b/>
          <w:bCs/>
          <w:sz w:val="24"/>
          <w:szCs w:val="24"/>
        </w:rPr>
      </w:pPr>
      <w:r w:rsidRPr="00D925EB">
        <w:rPr>
          <w:rFonts w:ascii="gobCL" w:hAnsi="gobCL"/>
          <w:b/>
          <w:bCs/>
          <w:sz w:val="24"/>
          <w:szCs w:val="24"/>
        </w:rPr>
        <w:lastRenderedPageBreak/>
        <w:t xml:space="preserve">Tabla 2: Casos de viruela del mono según región de residencia y región de notificación. Chile, al </w:t>
      </w:r>
      <w:r w:rsidR="004727B8" w:rsidRPr="00D925EB">
        <w:rPr>
          <w:rFonts w:ascii="gobCL" w:hAnsi="gobCL"/>
          <w:b/>
          <w:bCs/>
          <w:sz w:val="24"/>
          <w:szCs w:val="24"/>
        </w:rPr>
        <w:t>13</w:t>
      </w:r>
      <w:r w:rsidR="00FF725B" w:rsidRPr="00D925EB">
        <w:rPr>
          <w:rFonts w:ascii="gobCL" w:hAnsi="gobCL"/>
          <w:b/>
          <w:bCs/>
          <w:sz w:val="24"/>
          <w:szCs w:val="24"/>
        </w:rPr>
        <w:t xml:space="preserve"> de </w:t>
      </w:r>
      <w:r w:rsidR="00CA3C71" w:rsidRPr="00D925EB">
        <w:rPr>
          <w:rFonts w:ascii="gobCL" w:hAnsi="gobCL"/>
          <w:b/>
          <w:bCs/>
          <w:sz w:val="24"/>
          <w:szCs w:val="24"/>
        </w:rPr>
        <w:t>octubre</w:t>
      </w:r>
      <w:r w:rsidRPr="00D925EB">
        <w:rPr>
          <w:rFonts w:ascii="gobCL" w:hAnsi="gobCL"/>
          <w:b/>
          <w:bCs/>
          <w:sz w:val="24"/>
          <w:szCs w:val="24"/>
        </w:rPr>
        <w:t xml:space="preserve"> de 2022.</w:t>
      </w:r>
    </w:p>
    <w:p w14:paraId="1C76AF35" w14:textId="77777777" w:rsidR="00C279BF" w:rsidRPr="002A2523" w:rsidRDefault="00C279BF" w:rsidP="00C279BF">
      <w:pPr>
        <w:spacing w:after="0" w:line="360" w:lineRule="auto"/>
        <w:rPr>
          <w:rFonts w:ascii="gobCL" w:hAnsi="gobCL"/>
          <w:b/>
          <w:bCs/>
          <w:highlight w:val="cyan"/>
        </w:rPr>
      </w:pPr>
    </w:p>
    <w:tbl>
      <w:tblPr>
        <w:tblW w:w="5000" w:type="pct"/>
        <w:jc w:val="center"/>
        <w:tblCellMar>
          <w:left w:w="70" w:type="dxa"/>
          <w:right w:w="70" w:type="dxa"/>
        </w:tblCellMar>
        <w:tblLook w:val="04A0" w:firstRow="1" w:lastRow="0" w:firstColumn="1" w:lastColumn="0" w:noHBand="0" w:noVBand="1"/>
      </w:tblPr>
      <w:tblGrid>
        <w:gridCol w:w="3122"/>
        <w:gridCol w:w="1292"/>
        <w:gridCol w:w="964"/>
        <w:gridCol w:w="246"/>
        <w:gridCol w:w="1200"/>
        <w:gridCol w:w="895"/>
        <w:gridCol w:w="270"/>
        <w:gridCol w:w="1200"/>
        <w:gridCol w:w="891"/>
      </w:tblGrid>
      <w:tr w:rsidR="00C279BF" w:rsidRPr="00D925EB" w14:paraId="7462EB0D" w14:textId="77777777" w:rsidTr="00C279BF">
        <w:trPr>
          <w:trHeight w:val="20"/>
          <w:jc w:val="center"/>
        </w:trPr>
        <w:tc>
          <w:tcPr>
            <w:tcW w:w="1549" w:type="pct"/>
            <w:vMerge w:val="restart"/>
            <w:tcBorders>
              <w:top w:val="single" w:sz="4" w:space="0" w:color="auto"/>
              <w:left w:val="nil"/>
              <w:bottom w:val="single" w:sz="4" w:space="0" w:color="auto"/>
              <w:right w:val="nil"/>
            </w:tcBorders>
            <w:shd w:val="clear" w:color="auto" w:fill="FFFFFF"/>
            <w:vAlign w:val="center"/>
            <w:hideMark/>
          </w:tcPr>
          <w:p w14:paraId="102C387B" w14:textId="77777777" w:rsidR="00C279BF" w:rsidRPr="00D925EB" w:rsidRDefault="00C279BF">
            <w:pPr>
              <w:spacing w:after="0" w:line="360" w:lineRule="auto"/>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 xml:space="preserve">        Región</w:t>
            </w:r>
          </w:p>
        </w:tc>
        <w:tc>
          <w:tcPr>
            <w:tcW w:w="1119" w:type="pct"/>
            <w:gridSpan w:val="2"/>
            <w:tcBorders>
              <w:top w:val="single" w:sz="4" w:space="0" w:color="auto"/>
              <w:left w:val="nil"/>
              <w:bottom w:val="nil"/>
              <w:right w:val="nil"/>
            </w:tcBorders>
            <w:shd w:val="clear" w:color="auto" w:fill="FFFFFF"/>
            <w:noWrap/>
            <w:vAlign w:val="center"/>
            <w:hideMark/>
          </w:tcPr>
          <w:p w14:paraId="0B7F9151" w14:textId="77777777" w:rsidR="00C279BF" w:rsidRPr="00D925EB" w:rsidRDefault="00C279BF">
            <w:pPr>
              <w:spacing w:after="0" w:line="360" w:lineRule="auto"/>
              <w:jc w:val="center"/>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Confirmado</w:t>
            </w:r>
          </w:p>
        </w:tc>
        <w:tc>
          <w:tcPr>
            <w:tcW w:w="122" w:type="pct"/>
            <w:tcBorders>
              <w:top w:val="single" w:sz="4" w:space="0" w:color="auto"/>
              <w:left w:val="nil"/>
              <w:bottom w:val="nil"/>
              <w:right w:val="nil"/>
            </w:tcBorders>
            <w:shd w:val="clear" w:color="auto" w:fill="FFFFFF"/>
            <w:vAlign w:val="center"/>
          </w:tcPr>
          <w:p w14:paraId="37F6809B" w14:textId="77777777" w:rsidR="00C279BF" w:rsidRPr="00D925EB" w:rsidRDefault="00C279BF">
            <w:pPr>
              <w:spacing w:after="0" w:line="360" w:lineRule="auto"/>
              <w:jc w:val="center"/>
              <w:rPr>
                <w:rFonts w:ascii="gobCL" w:eastAsia="Times New Roman" w:hAnsi="gobCL" w:cs="Calibri"/>
                <w:b/>
                <w:bCs/>
                <w:color w:val="000000"/>
                <w:lang w:val="es-ES" w:eastAsia="es-CL"/>
              </w:rPr>
            </w:pPr>
          </w:p>
        </w:tc>
        <w:tc>
          <w:tcPr>
            <w:tcW w:w="1039" w:type="pct"/>
            <w:gridSpan w:val="2"/>
            <w:tcBorders>
              <w:top w:val="single" w:sz="4" w:space="0" w:color="auto"/>
              <w:left w:val="nil"/>
              <w:bottom w:val="nil"/>
              <w:right w:val="nil"/>
            </w:tcBorders>
            <w:shd w:val="clear" w:color="auto" w:fill="FFFFFF"/>
            <w:noWrap/>
            <w:vAlign w:val="center"/>
            <w:hideMark/>
          </w:tcPr>
          <w:p w14:paraId="06B08C49" w14:textId="77777777" w:rsidR="00C279BF" w:rsidRPr="00D925EB" w:rsidRDefault="00C279BF">
            <w:pPr>
              <w:spacing w:after="0" w:line="360" w:lineRule="auto"/>
              <w:jc w:val="center"/>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Probable</w:t>
            </w:r>
          </w:p>
        </w:tc>
        <w:tc>
          <w:tcPr>
            <w:tcW w:w="134" w:type="pct"/>
            <w:tcBorders>
              <w:top w:val="single" w:sz="4" w:space="0" w:color="auto"/>
              <w:left w:val="nil"/>
              <w:bottom w:val="nil"/>
              <w:right w:val="nil"/>
            </w:tcBorders>
            <w:shd w:val="clear" w:color="auto" w:fill="FFFFFF"/>
            <w:vAlign w:val="center"/>
          </w:tcPr>
          <w:p w14:paraId="3E02750E" w14:textId="77777777" w:rsidR="00C279BF" w:rsidRPr="00D925EB" w:rsidRDefault="00C279BF">
            <w:pPr>
              <w:spacing w:after="0" w:line="360" w:lineRule="auto"/>
              <w:jc w:val="center"/>
              <w:rPr>
                <w:rFonts w:ascii="gobCL" w:eastAsia="Times New Roman" w:hAnsi="gobCL" w:cs="Calibri"/>
                <w:b/>
                <w:bCs/>
                <w:color w:val="000000"/>
                <w:lang w:val="es-ES" w:eastAsia="es-CL"/>
              </w:rPr>
            </w:pPr>
          </w:p>
        </w:tc>
        <w:tc>
          <w:tcPr>
            <w:tcW w:w="1037" w:type="pct"/>
            <w:gridSpan w:val="2"/>
            <w:tcBorders>
              <w:top w:val="single" w:sz="4" w:space="0" w:color="auto"/>
              <w:left w:val="nil"/>
              <w:bottom w:val="nil"/>
              <w:right w:val="nil"/>
            </w:tcBorders>
            <w:shd w:val="clear" w:color="auto" w:fill="FFFFFF"/>
            <w:noWrap/>
            <w:vAlign w:val="center"/>
            <w:hideMark/>
          </w:tcPr>
          <w:p w14:paraId="7F517E30" w14:textId="77777777" w:rsidR="00C279BF" w:rsidRPr="00D925EB" w:rsidRDefault="00C279BF">
            <w:pPr>
              <w:spacing w:after="0" w:line="360" w:lineRule="auto"/>
              <w:jc w:val="center"/>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Total</w:t>
            </w:r>
          </w:p>
        </w:tc>
      </w:tr>
      <w:tr w:rsidR="00C279BF" w:rsidRPr="00D925EB" w14:paraId="1A9DD4FE" w14:textId="77777777" w:rsidTr="00C279BF">
        <w:trPr>
          <w:trHeight w:val="20"/>
          <w:jc w:val="center"/>
        </w:trPr>
        <w:tc>
          <w:tcPr>
            <w:tcW w:w="0" w:type="auto"/>
            <w:vMerge/>
            <w:tcBorders>
              <w:top w:val="single" w:sz="4" w:space="0" w:color="auto"/>
              <w:left w:val="nil"/>
              <w:bottom w:val="single" w:sz="4" w:space="0" w:color="auto"/>
              <w:right w:val="nil"/>
            </w:tcBorders>
            <w:vAlign w:val="center"/>
            <w:hideMark/>
          </w:tcPr>
          <w:p w14:paraId="11E0360E" w14:textId="77777777" w:rsidR="00C279BF" w:rsidRPr="00D925EB" w:rsidRDefault="00C279BF">
            <w:pPr>
              <w:spacing w:after="0"/>
              <w:rPr>
                <w:rFonts w:ascii="gobCL" w:eastAsia="Times New Roman" w:hAnsi="gobCL" w:cs="Calibri"/>
                <w:b/>
                <w:bCs/>
                <w:color w:val="000000"/>
                <w:lang w:val="es-ES" w:eastAsia="es-CL"/>
              </w:rPr>
            </w:pPr>
          </w:p>
        </w:tc>
        <w:tc>
          <w:tcPr>
            <w:tcW w:w="641" w:type="pct"/>
            <w:tcBorders>
              <w:top w:val="nil"/>
              <w:left w:val="nil"/>
              <w:bottom w:val="single" w:sz="4" w:space="0" w:color="auto"/>
              <w:right w:val="nil"/>
            </w:tcBorders>
            <w:shd w:val="clear" w:color="auto" w:fill="FFFFFF"/>
            <w:noWrap/>
            <w:vAlign w:val="center"/>
            <w:hideMark/>
          </w:tcPr>
          <w:p w14:paraId="618672F4" w14:textId="77777777" w:rsidR="00C279BF" w:rsidRPr="00D925EB" w:rsidRDefault="00C279BF">
            <w:pPr>
              <w:spacing w:after="0" w:line="360" w:lineRule="auto"/>
              <w:jc w:val="center"/>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Casos</w:t>
            </w:r>
          </w:p>
        </w:tc>
        <w:tc>
          <w:tcPr>
            <w:tcW w:w="478" w:type="pct"/>
            <w:tcBorders>
              <w:top w:val="nil"/>
              <w:left w:val="nil"/>
              <w:bottom w:val="single" w:sz="4" w:space="0" w:color="auto"/>
              <w:right w:val="nil"/>
            </w:tcBorders>
            <w:shd w:val="clear" w:color="auto" w:fill="FFFFFF"/>
            <w:noWrap/>
            <w:vAlign w:val="center"/>
            <w:hideMark/>
          </w:tcPr>
          <w:p w14:paraId="7DF4D97F" w14:textId="77777777" w:rsidR="00C279BF" w:rsidRPr="00D925EB" w:rsidRDefault="00C279BF">
            <w:pPr>
              <w:spacing w:after="0" w:line="360" w:lineRule="auto"/>
              <w:jc w:val="center"/>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w:t>
            </w:r>
          </w:p>
        </w:tc>
        <w:tc>
          <w:tcPr>
            <w:tcW w:w="122" w:type="pct"/>
            <w:tcBorders>
              <w:top w:val="nil"/>
              <w:left w:val="nil"/>
              <w:bottom w:val="single" w:sz="4" w:space="0" w:color="auto"/>
              <w:right w:val="nil"/>
            </w:tcBorders>
            <w:shd w:val="clear" w:color="auto" w:fill="FFFFFF"/>
            <w:vAlign w:val="center"/>
          </w:tcPr>
          <w:p w14:paraId="3548DBB1" w14:textId="77777777" w:rsidR="00C279BF" w:rsidRPr="00D925EB" w:rsidRDefault="00C279BF">
            <w:pPr>
              <w:spacing w:after="0" w:line="360" w:lineRule="auto"/>
              <w:jc w:val="center"/>
              <w:rPr>
                <w:rFonts w:ascii="gobCL" w:eastAsia="Times New Roman" w:hAnsi="gobCL" w:cs="Calibri"/>
                <w:b/>
                <w:bCs/>
                <w:color w:val="000000"/>
                <w:lang w:val="es-ES" w:eastAsia="es-CL"/>
              </w:rPr>
            </w:pPr>
          </w:p>
        </w:tc>
        <w:tc>
          <w:tcPr>
            <w:tcW w:w="595" w:type="pct"/>
            <w:tcBorders>
              <w:top w:val="nil"/>
              <w:left w:val="nil"/>
              <w:bottom w:val="single" w:sz="4" w:space="0" w:color="auto"/>
              <w:right w:val="nil"/>
            </w:tcBorders>
            <w:shd w:val="clear" w:color="auto" w:fill="FFFFFF"/>
            <w:noWrap/>
            <w:vAlign w:val="center"/>
            <w:hideMark/>
          </w:tcPr>
          <w:p w14:paraId="4720E733" w14:textId="77777777" w:rsidR="00C279BF" w:rsidRPr="00D925EB" w:rsidRDefault="00C279BF">
            <w:pPr>
              <w:spacing w:after="0" w:line="360" w:lineRule="auto"/>
              <w:jc w:val="center"/>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Casos</w:t>
            </w:r>
          </w:p>
        </w:tc>
        <w:tc>
          <w:tcPr>
            <w:tcW w:w="444" w:type="pct"/>
            <w:tcBorders>
              <w:top w:val="nil"/>
              <w:left w:val="nil"/>
              <w:bottom w:val="single" w:sz="4" w:space="0" w:color="auto"/>
              <w:right w:val="nil"/>
            </w:tcBorders>
            <w:shd w:val="clear" w:color="auto" w:fill="FFFFFF"/>
            <w:noWrap/>
            <w:vAlign w:val="center"/>
            <w:hideMark/>
          </w:tcPr>
          <w:p w14:paraId="54525775" w14:textId="77777777" w:rsidR="00C279BF" w:rsidRPr="00D925EB" w:rsidRDefault="00C279BF">
            <w:pPr>
              <w:spacing w:after="0" w:line="360" w:lineRule="auto"/>
              <w:jc w:val="center"/>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w:t>
            </w:r>
          </w:p>
        </w:tc>
        <w:tc>
          <w:tcPr>
            <w:tcW w:w="134" w:type="pct"/>
            <w:tcBorders>
              <w:top w:val="nil"/>
              <w:left w:val="nil"/>
              <w:bottom w:val="single" w:sz="4" w:space="0" w:color="auto"/>
              <w:right w:val="nil"/>
            </w:tcBorders>
            <w:shd w:val="clear" w:color="auto" w:fill="FFFFFF"/>
            <w:vAlign w:val="center"/>
          </w:tcPr>
          <w:p w14:paraId="75F20BBA" w14:textId="77777777" w:rsidR="00C279BF" w:rsidRPr="00D925EB" w:rsidRDefault="00C279BF">
            <w:pPr>
              <w:spacing w:after="0" w:line="360" w:lineRule="auto"/>
              <w:jc w:val="center"/>
              <w:rPr>
                <w:rFonts w:ascii="gobCL" w:eastAsia="Times New Roman" w:hAnsi="gobCL" w:cs="Calibri"/>
                <w:b/>
                <w:bCs/>
                <w:color w:val="000000"/>
                <w:lang w:val="es-ES" w:eastAsia="es-CL"/>
              </w:rPr>
            </w:pPr>
          </w:p>
        </w:tc>
        <w:tc>
          <w:tcPr>
            <w:tcW w:w="595" w:type="pct"/>
            <w:tcBorders>
              <w:top w:val="nil"/>
              <w:left w:val="nil"/>
              <w:bottom w:val="single" w:sz="4" w:space="0" w:color="auto"/>
              <w:right w:val="nil"/>
            </w:tcBorders>
            <w:shd w:val="clear" w:color="auto" w:fill="FFFFFF"/>
            <w:noWrap/>
            <w:vAlign w:val="center"/>
            <w:hideMark/>
          </w:tcPr>
          <w:p w14:paraId="61B8D1CF" w14:textId="77777777" w:rsidR="00C279BF" w:rsidRPr="00D925EB" w:rsidRDefault="00C279BF">
            <w:pPr>
              <w:spacing w:after="0" w:line="360" w:lineRule="auto"/>
              <w:jc w:val="center"/>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Casos</w:t>
            </w:r>
          </w:p>
        </w:tc>
        <w:tc>
          <w:tcPr>
            <w:tcW w:w="442" w:type="pct"/>
            <w:tcBorders>
              <w:top w:val="nil"/>
              <w:left w:val="nil"/>
              <w:bottom w:val="single" w:sz="4" w:space="0" w:color="auto"/>
              <w:right w:val="nil"/>
            </w:tcBorders>
            <w:shd w:val="clear" w:color="auto" w:fill="FFFFFF"/>
            <w:noWrap/>
            <w:vAlign w:val="center"/>
            <w:hideMark/>
          </w:tcPr>
          <w:p w14:paraId="0A55DA21" w14:textId="77777777" w:rsidR="00C279BF" w:rsidRPr="00D925EB" w:rsidRDefault="00C279BF">
            <w:pPr>
              <w:spacing w:after="0" w:line="360" w:lineRule="auto"/>
              <w:jc w:val="center"/>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w:t>
            </w:r>
          </w:p>
        </w:tc>
      </w:tr>
      <w:tr w:rsidR="009058B7" w:rsidRPr="00D925EB" w14:paraId="7B369054" w14:textId="77777777" w:rsidTr="00A950F3">
        <w:trPr>
          <w:trHeight w:val="20"/>
          <w:jc w:val="center"/>
        </w:trPr>
        <w:tc>
          <w:tcPr>
            <w:tcW w:w="1549" w:type="pct"/>
            <w:tcBorders>
              <w:top w:val="single" w:sz="4" w:space="0" w:color="auto"/>
              <w:left w:val="nil"/>
              <w:bottom w:val="nil"/>
              <w:right w:val="nil"/>
            </w:tcBorders>
            <w:shd w:val="clear" w:color="auto" w:fill="FFFFFF"/>
            <w:noWrap/>
            <w:vAlign w:val="center"/>
            <w:hideMark/>
          </w:tcPr>
          <w:p w14:paraId="3400E62C"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Arica y Parinacota</w:t>
            </w:r>
          </w:p>
        </w:tc>
        <w:tc>
          <w:tcPr>
            <w:tcW w:w="641" w:type="pct"/>
            <w:tcBorders>
              <w:top w:val="single" w:sz="4" w:space="0" w:color="auto"/>
              <w:left w:val="nil"/>
              <w:bottom w:val="nil"/>
              <w:right w:val="nil"/>
            </w:tcBorders>
            <w:shd w:val="clear" w:color="auto" w:fill="FFFFFF"/>
            <w:noWrap/>
          </w:tcPr>
          <w:p w14:paraId="218AEDEB" w14:textId="1411E822" w:rsidR="009058B7" w:rsidRPr="00D925EB" w:rsidRDefault="009058B7">
            <w:pPr>
              <w:spacing w:after="0" w:line="360" w:lineRule="auto"/>
              <w:jc w:val="center"/>
              <w:rPr>
                <w:rFonts w:ascii="gobCL" w:eastAsia="Times New Roman" w:hAnsi="gobCL" w:cs="Calibri"/>
                <w:color w:val="000000"/>
                <w:lang w:val="es-ES" w:eastAsia="es-CL"/>
              </w:rPr>
            </w:pPr>
            <w:r w:rsidRPr="00D925EB">
              <w:t>2</w:t>
            </w:r>
          </w:p>
        </w:tc>
        <w:tc>
          <w:tcPr>
            <w:tcW w:w="478" w:type="pct"/>
            <w:tcBorders>
              <w:top w:val="single" w:sz="4" w:space="0" w:color="auto"/>
              <w:left w:val="nil"/>
              <w:bottom w:val="nil"/>
              <w:right w:val="nil"/>
            </w:tcBorders>
            <w:shd w:val="clear" w:color="auto" w:fill="FFFFFF"/>
            <w:noWrap/>
          </w:tcPr>
          <w:p w14:paraId="69D6123B" w14:textId="35F3DFF2" w:rsidR="009058B7" w:rsidRPr="00D925EB" w:rsidRDefault="009058B7">
            <w:pPr>
              <w:spacing w:after="0" w:line="360" w:lineRule="auto"/>
              <w:jc w:val="center"/>
              <w:rPr>
                <w:rFonts w:ascii="gobCL" w:eastAsia="Times New Roman" w:hAnsi="gobCL" w:cs="Calibri"/>
                <w:color w:val="000000"/>
                <w:lang w:val="es-ES" w:eastAsia="es-CL"/>
              </w:rPr>
            </w:pPr>
            <w:r w:rsidRPr="00D925EB">
              <w:t>0,2</w:t>
            </w:r>
          </w:p>
        </w:tc>
        <w:tc>
          <w:tcPr>
            <w:tcW w:w="122" w:type="pct"/>
            <w:tcBorders>
              <w:top w:val="single" w:sz="4" w:space="0" w:color="auto"/>
              <w:left w:val="nil"/>
              <w:bottom w:val="nil"/>
              <w:right w:val="nil"/>
            </w:tcBorders>
            <w:shd w:val="clear" w:color="auto" w:fill="FFFFFF"/>
            <w:vAlign w:val="center"/>
          </w:tcPr>
          <w:p w14:paraId="548654AC" w14:textId="77777777" w:rsidR="009058B7" w:rsidRPr="00D925EB" w:rsidRDefault="009058B7">
            <w:pPr>
              <w:spacing w:after="0" w:line="360" w:lineRule="auto"/>
              <w:jc w:val="center"/>
              <w:rPr>
                <w:rFonts w:ascii="gobCL" w:hAnsi="gobCL" w:cs="Calibri"/>
                <w:color w:val="000000"/>
                <w:lang w:val="es-ES"/>
              </w:rPr>
            </w:pPr>
          </w:p>
        </w:tc>
        <w:tc>
          <w:tcPr>
            <w:tcW w:w="595" w:type="pct"/>
            <w:tcBorders>
              <w:top w:val="single" w:sz="4" w:space="0" w:color="auto"/>
              <w:left w:val="nil"/>
              <w:bottom w:val="nil"/>
              <w:right w:val="nil"/>
            </w:tcBorders>
            <w:shd w:val="clear" w:color="auto" w:fill="FFFFFF"/>
            <w:noWrap/>
          </w:tcPr>
          <w:p w14:paraId="406B3243" w14:textId="3DAD8DAA"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tcBorders>
              <w:top w:val="single" w:sz="4" w:space="0" w:color="auto"/>
              <w:left w:val="nil"/>
              <w:bottom w:val="nil"/>
              <w:right w:val="nil"/>
            </w:tcBorders>
            <w:shd w:val="clear" w:color="auto" w:fill="FFFFFF"/>
            <w:noWrap/>
          </w:tcPr>
          <w:p w14:paraId="6B73FDC4" w14:textId="2C1D20B5"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tcBorders>
              <w:top w:val="single" w:sz="4" w:space="0" w:color="auto"/>
              <w:left w:val="nil"/>
              <w:bottom w:val="nil"/>
              <w:right w:val="nil"/>
            </w:tcBorders>
            <w:shd w:val="clear" w:color="auto" w:fill="FFFFFF"/>
            <w:vAlign w:val="center"/>
          </w:tcPr>
          <w:p w14:paraId="5BDB48B4" w14:textId="77777777" w:rsidR="009058B7" w:rsidRPr="00D925EB" w:rsidRDefault="009058B7">
            <w:pPr>
              <w:spacing w:after="0" w:line="360" w:lineRule="auto"/>
              <w:jc w:val="center"/>
              <w:rPr>
                <w:rFonts w:ascii="gobCL" w:hAnsi="gobCL" w:cs="Calibri"/>
                <w:color w:val="000000"/>
                <w:lang w:val="es-ES"/>
              </w:rPr>
            </w:pPr>
          </w:p>
        </w:tc>
        <w:tc>
          <w:tcPr>
            <w:tcW w:w="595" w:type="pct"/>
            <w:tcBorders>
              <w:top w:val="single" w:sz="4" w:space="0" w:color="auto"/>
              <w:left w:val="nil"/>
              <w:bottom w:val="nil"/>
              <w:right w:val="nil"/>
            </w:tcBorders>
            <w:shd w:val="clear" w:color="auto" w:fill="FFFFFF"/>
            <w:noWrap/>
          </w:tcPr>
          <w:p w14:paraId="06810F04" w14:textId="79FB6EEB" w:rsidR="009058B7" w:rsidRPr="00D925EB" w:rsidRDefault="009058B7">
            <w:pPr>
              <w:spacing w:after="0" w:line="360" w:lineRule="auto"/>
              <w:jc w:val="center"/>
              <w:rPr>
                <w:rFonts w:ascii="gobCL" w:eastAsia="Times New Roman" w:hAnsi="gobCL" w:cs="Calibri"/>
                <w:color w:val="000000"/>
                <w:lang w:val="es-ES" w:eastAsia="es-CL"/>
              </w:rPr>
            </w:pPr>
            <w:r w:rsidRPr="00D925EB">
              <w:t>2</w:t>
            </w:r>
          </w:p>
        </w:tc>
        <w:tc>
          <w:tcPr>
            <w:tcW w:w="442" w:type="pct"/>
            <w:tcBorders>
              <w:top w:val="single" w:sz="4" w:space="0" w:color="auto"/>
              <w:left w:val="nil"/>
              <w:bottom w:val="nil"/>
              <w:right w:val="nil"/>
            </w:tcBorders>
            <w:shd w:val="clear" w:color="auto" w:fill="FFFFFF"/>
            <w:noWrap/>
          </w:tcPr>
          <w:p w14:paraId="2029B5F7" w14:textId="33944A21" w:rsidR="009058B7" w:rsidRPr="00D925EB" w:rsidRDefault="009058B7">
            <w:pPr>
              <w:spacing w:after="0" w:line="360" w:lineRule="auto"/>
              <w:jc w:val="center"/>
              <w:rPr>
                <w:rFonts w:ascii="gobCL" w:eastAsia="Times New Roman" w:hAnsi="gobCL" w:cs="Calibri"/>
                <w:color w:val="000000"/>
                <w:lang w:val="es-ES" w:eastAsia="es-CL"/>
              </w:rPr>
            </w:pPr>
            <w:r w:rsidRPr="00D925EB">
              <w:t>0,2</w:t>
            </w:r>
          </w:p>
        </w:tc>
      </w:tr>
      <w:tr w:rsidR="009058B7" w:rsidRPr="00D925EB" w14:paraId="45A1A28A" w14:textId="77777777" w:rsidTr="00A950F3">
        <w:trPr>
          <w:trHeight w:val="20"/>
          <w:jc w:val="center"/>
        </w:trPr>
        <w:tc>
          <w:tcPr>
            <w:tcW w:w="1549" w:type="pct"/>
            <w:shd w:val="clear" w:color="auto" w:fill="FFFFFF"/>
            <w:noWrap/>
            <w:vAlign w:val="center"/>
            <w:hideMark/>
          </w:tcPr>
          <w:p w14:paraId="774BF148"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Tarapacá</w:t>
            </w:r>
          </w:p>
        </w:tc>
        <w:tc>
          <w:tcPr>
            <w:tcW w:w="641" w:type="pct"/>
            <w:shd w:val="clear" w:color="auto" w:fill="FFFFFF"/>
            <w:noWrap/>
          </w:tcPr>
          <w:p w14:paraId="37744048" w14:textId="0E032464" w:rsidR="009058B7" w:rsidRPr="00D925EB" w:rsidRDefault="009058B7">
            <w:pPr>
              <w:spacing w:after="0" w:line="360" w:lineRule="auto"/>
              <w:jc w:val="center"/>
              <w:rPr>
                <w:rFonts w:ascii="gobCL" w:eastAsia="Times New Roman" w:hAnsi="gobCL" w:cs="Calibri"/>
                <w:color w:val="000000"/>
                <w:lang w:val="es-ES" w:eastAsia="es-CL"/>
              </w:rPr>
            </w:pPr>
            <w:r w:rsidRPr="00D925EB">
              <w:t>7</w:t>
            </w:r>
          </w:p>
        </w:tc>
        <w:tc>
          <w:tcPr>
            <w:tcW w:w="478" w:type="pct"/>
            <w:shd w:val="clear" w:color="auto" w:fill="FFFFFF"/>
            <w:noWrap/>
          </w:tcPr>
          <w:p w14:paraId="01D2DE01" w14:textId="67E31390" w:rsidR="009058B7" w:rsidRPr="00D925EB" w:rsidRDefault="009058B7">
            <w:pPr>
              <w:spacing w:after="0" w:line="360" w:lineRule="auto"/>
              <w:jc w:val="center"/>
              <w:rPr>
                <w:rFonts w:ascii="gobCL" w:eastAsia="Times New Roman" w:hAnsi="gobCL" w:cs="Calibri"/>
                <w:color w:val="000000"/>
                <w:lang w:val="es-ES" w:eastAsia="es-CL"/>
              </w:rPr>
            </w:pPr>
            <w:r w:rsidRPr="00D925EB">
              <w:t>0,6</w:t>
            </w:r>
          </w:p>
        </w:tc>
        <w:tc>
          <w:tcPr>
            <w:tcW w:w="122" w:type="pct"/>
            <w:shd w:val="clear" w:color="auto" w:fill="FFFFFF"/>
            <w:vAlign w:val="center"/>
          </w:tcPr>
          <w:p w14:paraId="119B89A8"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16FCBBD7" w14:textId="46208421"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78BEEE5C" w14:textId="747C98EA"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4FCB35A8"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41D66026" w14:textId="3DDB391D" w:rsidR="009058B7" w:rsidRPr="00D925EB" w:rsidRDefault="009058B7">
            <w:pPr>
              <w:spacing w:after="0" w:line="360" w:lineRule="auto"/>
              <w:jc w:val="center"/>
              <w:rPr>
                <w:rFonts w:ascii="gobCL" w:eastAsia="Times New Roman" w:hAnsi="gobCL" w:cs="Calibri"/>
                <w:color w:val="000000"/>
                <w:lang w:val="es-ES" w:eastAsia="es-CL"/>
              </w:rPr>
            </w:pPr>
            <w:r w:rsidRPr="00D925EB">
              <w:t>7</w:t>
            </w:r>
          </w:p>
        </w:tc>
        <w:tc>
          <w:tcPr>
            <w:tcW w:w="442" w:type="pct"/>
            <w:shd w:val="clear" w:color="auto" w:fill="FFFFFF"/>
            <w:noWrap/>
          </w:tcPr>
          <w:p w14:paraId="58335DC8" w14:textId="5AECA12A" w:rsidR="009058B7" w:rsidRPr="00D925EB" w:rsidRDefault="009058B7">
            <w:pPr>
              <w:spacing w:after="0" w:line="360" w:lineRule="auto"/>
              <w:jc w:val="center"/>
              <w:rPr>
                <w:rFonts w:ascii="gobCL" w:eastAsia="Times New Roman" w:hAnsi="gobCL" w:cs="Calibri"/>
                <w:color w:val="000000"/>
                <w:lang w:val="es-ES" w:eastAsia="es-CL"/>
              </w:rPr>
            </w:pPr>
            <w:r w:rsidRPr="00D925EB">
              <w:t>0,6</w:t>
            </w:r>
          </w:p>
        </w:tc>
      </w:tr>
      <w:tr w:rsidR="009058B7" w:rsidRPr="00D925EB" w14:paraId="30552170" w14:textId="77777777" w:rsidTr="00A950F3">
        <w:trPr>
          <w:trHeight w:val="20"/>
          <w:jc w:val="center"/>
        </w:trPr>
        <w:tc>
          <w:tcPr>
            <w:tcW w:w="1549" w:type="pct"/>
            <w:shd w:val="clear" w:color="auto" w:fill="FFFFFF"/>
            <w:noWrap/>
            <w:vAlign w:val="center"/>
            <w:hideMark/>
          </w:tcPr>
          <w:p w14:paraId="64E55CA6"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Antofagasta</w:t>
            </w:r>
          </w:p>
        </w:tc>
        <w:tc>
          <w:tcPr>
            <w:tcW w:w="641" w:type="pct"/>
            <w:shd w:val="clear" w:color="auto" w:fill="FFFFFF"/>
            <w:noWrap/>
          </w:tcPr>
          <w:p w14:paraId="4E20484F" w14:textId="2997C11C" w:rsidR="009058B7" w:rsidRPr="00D925EB" w:rsidRDefault="009058B7">
            <w:pPr>
              <w:spacing w:after="0" w:line="360" w:lineRule="auto"/>
              <w:jc w:val="center"/>
              <w:rPr>
                <w:rFonts w:ascii="gobCL" w:eastAsia="Times New Roman" w:hAnsi="gobCL" w:cs="Calibri"/>
                <w:color w:val="000000"/>
                <w:lang w:val="es-ES" w:eastAsia="es-CL"/>
              </w:rPr>
            </w:pPr>
            <w:r w:rsidRPr="00D925EB">
              <w:t>21</w:t>
            </w:r>
          </w:p>
        </w:tc>
        <w:tc>
          <w:tcPr>
            <w:tcW w:w="478" w:type="pct"/>
            <w:shd w:val="clear" w:color="auto" w:fill="FFFFFF"/>
            <w:noWrap/>
          </w:tcPr>
          <w:p w14:paraId="4782F024" w14:textId="0D72748D" w:rsidR="009058B7" w:rsidRPr="00D925EB" w:rsidRDefault="009058B7">
            <w:pPr>
              <w:spacing w:after="0" w:line="360" w:lineRule="auto"/>
              <w:jc w:val="center"/>
              <w:rPr>
                <w:rFonts w:ascii="gobCL" w:eastAsia="Times New Roman" w:hAnsi="gobCL" w:cs="Calibri"/>
                <w:color w:val="000000"/>
                <w:lang w:val="es-ES" w:eastAsia="es-CL"/>
              </w:rPr>
            </w:pPr>
            <w:r w:rsidRPr="00D925EB">
              <w:t>1,9</w:t>
            </w:r>
          </w:p>
        </w:tc>
        <w:tc>
          <w:tcPr>
            <w:tcW w:w="122" w:type="pct"/>
            <w:shd w:val="clear" w:color="auto" w:fill="FFFFFF"/>
            <w:vAlign w:val="center"/>
          </w:tcPr>
          <w:p w14:paraId="05436F12"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0708BECA" w14:textId="6879C9DE" w:rsidR="009058B7" w:rsidRPr="00D925EB" w:rsidRDefault="009058B7">
            <w:pPr>
              <w:spacing w:after="0" w:line="360" w:lineRule="auto"/>
              <w:jc w:val="center"/>
              <w:rPr>
                <w:rFonts w:ascii="gobCL" w:eastAsia="Times New Roman" w:hAnsi="gobCL" w:cs="Calibri"/>
                <w:color w:val="000000"/>
                <w:lang w:val="es-ES" w:eastAsia="es-CL"/>
              </w:rPr>
            </w:pPr>
            <w:r w:rsidRPr="00D925EB">
              <w:t>3</w:t>
            </w:r>
          </w:p>
        </w:tc>
        <w:tc>
          <w:tcPr>
            <w:tcW w:w="444" w:type="pct"/>
            <w:shd w:val="clear" w:color="auto" w:fill="FFFFFF"/>
            <w:noWrap/>
          </w:tcPr>
          <w:p w14:paraId="758BF62A" w14:textId="6B034F0D" w:rsidR="009058B7" w:rsidRPr="00D925EB" w:rsidRDefault="009058B7">
            <w:pPr>
              <w:spacing w:after="0" w:line="360" w:lineRule="auto"/>
              <w:jc w:val="center"/>
              <w:rPr>
                <w:rFonts w:ascii="gobCL" w:eastAsia="Times New Roman" w:hAnsi="gobCL" w:cs="Calibri"/>
                <w:color w:val="000000"/>
                <w:lang w:val="es-ES" w:eastAsia="es-CL"/>
              </w:rPr>
            </w:pPr>
            <w:r w:rsidRPr="00D925EB">
              <w:t>0,3</w:t>
            </w:r>
          </w:p>
        </w:tc>
        <w:tc>
          <w:tcPr>
            <w:tcW w:w="134" w:type="pct"/>
            <w:shd w:val="clear" w:color="auto" w:fill="FFFFFF"/>
            <w:vAlign w:val="center"/>
          </w:tcPr>
          <w:p w14:paraId="156F9E99"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76241870" w14:textId="1E2ADE3C" w:rsidR="009058B7" w:rsidRPr="00D925EB" w:rsidRDefault="009058B7">
            <w:pPr>
              <w:spacing w:after="0" w:line="360" w:lineRule="auto"/>
              <w:jc w:val="center"/>
              <w:rPr>
                <w:rFonts w:ascii="gobCL" w:eastAsia="Times New Roman" w:hAnsi="gobCL" w:cs="Calibri"/>
                <w:color w:val="000000"/>
                <w:lang w:val="es-ES" w:eastAsia="es-CL"/>
              </w:rPr>
            </w:pPr>
            <w:r w:rsidRPr="00D925EB">
              <w:t>24</w:t>
            </w:r>
          </w:p>
        </w:tc>
        <w:tc>
          <w:tcPr>
            <w:tcW w:w="442" w:type="pct"/>
            <w:shd w:val="clear" w:color="auto" w:fill="FFFFFF"/>
            <w:noWrap/>
          </w:tcPr>
          <w:p w14:paraId="61CA7E1E" w14:textId="42EFA58B" w:rsidR="009058B7" w:rsidRPr="00D925EB" w:rsidRDefault="009058B7">
            <w:pPr>
              <w:spacing w:after="0" w:line="360" w:lineRule="auto"/>
              <w:jc w:val="center"/>
              <w:rPr>
                <w:rFonts w:ascii="gobCL" w:eastAsia="Times New Roman" w:hAnsi="gobCL" w:cs="Calibri"/>
                <w:color w:val="000000"/>
                <w:lang w:val="es-ES" w:eastAsia="es-CL"/>
              </w:rPr>
            </w:pPr>
            <w:r w:rsidRPr="00D925EB">
              <w:t>2,2</w:t>
            </w:r>
          </w:p>
        </w:tc>
      </w:tr>
      <w:tr w:rsidR="009058B7" w:rsidRPr="00D925EB" w14:paraId="10D77E61" w14:textId="77777777" w:rsidTr="00A950F3">
        <w:trPr>
          <w:trHeight w:val="20"/>
          <w:jc w:val="center"/>
        </w:trPr>
        <w:tc>
          <w:tcPr>
            <w:tcW w:w="1549" w:type="pct"/>
            <w:shd w:val="clear" w:color="auto" w:fill="FFFFFF"/>
            <w:noWrap/>
            <w:vAlign w:val="center"/>
            <w:hideMark/>
          </w:tcPr>
          <w:p w14:paraId="4CF085AD"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Atacama</w:t>
            </w:r>
          </w:p>
        </w:tc>
        <w:tc>
          <w:tcPr>
            <w:tcW w:w="641" w:type="pct"/>
            <w:shd w:val="clear" w:color="auto" w:fill="FFFFFF"/>
            <w:noWrap/>
          </w:tcPr>
          <w:p w14:paraId="42451C55" w14:textId="3DD80C2A" w:rsidR="009058B7" w:rsidRPr="00D925EB" w:rsidRDefault="009058B7">
            <w:pPr>
              <w:spacing w:after="0" w:line="360" w:lineRule="auto"/>
              <w:jc w:val="center"/>
              <w:rPr>
                <w:rFonts w:ascii="gobCL" w:eastAsia="Times New Roman" w:hAnsi="gobCL" w:cs="Calibri"/>
                <w:color w:val="000000"/>
                <w:lang w:val="es-ES" w:eastAsia="es-CL"/>
              </w:rPr>
            </w:pPr>
            <w:r w:rsidRPr="00D925EB">
              <w:t>1</w:t>
            </w:r>
          </w:p>
        </w:tc>
        <w:tc>
          <w:tcPr>
            <w:tcW w:w="478" w:type="pct"/>
            <w:shd w:val="clear" w:color="auto" w:fill="FFFFFF"/>
            <w:noWrap/>
          </w:tcPr>
          <w:p w14:paraId="705CC497" w14:textId="7AEDF4A6" w:rsidR="009058B7" w:rsidRPr="00D925EB" w:rsidRDefault="009058B7">
            <w:pPr>
              <w:spacing w:after="0" w:line="360" w:lineRule="auto"/>
              <w:jc w:val="center"/>
              <w:rPr>
                <w:rFonts w:ascii="gobCL" w:eastAsia="Times New Roman" w:hAnsi="gobCL" w:cs="Calibri"/>
                <w:color w:val="000000"/>
                <w:lang w:val="es-ES" w:eastAsia="es-CL"/>
              </w:rPr>
            </w:pPr>
            <w:r w:rsidRPr="00D925EB">
              <w:t>0,1</w:t>
            </w:r>
          </w:p>
        </w:tc>
        <w:tc>
          <w:tcPr>
            <w:tcW w:w="122" w:type="pct"/>
            <w:shd w:val="clear" w:color="auto" w:fill="FFFFFF"/>
            <w:vAlign w:val="center"/>
          </w:tcPr>
          <w:p w14:paraId="31EEBB49"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2E939EAF" w14:textId="2342285C"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703B7E22" w14:textId="78FCA446"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3562C108"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2894324A" w14:textId="6D9C6F52" w:rsidR="009058B7" w:rsidRPr="00D925EB" w:rsidRDefault="009058B7">
            <w:pPr>
              <w:spacing w:after="0" w:line="360" w:lineRule="auto"/>
              <w:jc w:val="center"/>
              <w:rPr>
                <w:rFonts w:ascii="gobCL" w:eastAsia="Times New Roman" w:hAnsi="gobCL" w:cs="Calibri"/>
                <w:color w:val="000000"/>
                <w:lang w:val="es-ES" w:eastAsia="es-CL"/>
              </w:rPr>
            </w:pPr>
            <w:r w:rsidRPr="00D925EB">
              <w:t>1</w:t>
            </w:r>
          </w:p>
        </w:tc>
        <w:tc>
          <w:tcPr>
            <w:tcW w:w="442" w:type="pct"/>
            <w:shd w:val="clear" w:color="auto" w:fill="FFFFFF"/>
            <w:noWrap/>
          </w:tcPr>
          <w:p w14:paraId="585A0750" w14:textId="7EAEA4CD" w:rsidR="009058B7" w:rsidRPr="00D925EB" w:rsidRDefault="009058B7">
            <w:pPr>
              <w:spacing w:after="0" w:line="360" w:lineRule="auto"/>
              <w:jc w:val="center"/>
              <w:rPr>
                <w:rFonts w:ascii="gobCL" w:eastAsia="Times New Roman" w:hAnsi="gobCL" w:cs="Calibri"/>
                <w:color w:val="000000"/>
                <w:lang w:val="es-ES" w:eastAsia="es-CL"/>
              </w:rPr>
            </w:pPr>
            <w:r w:rsidRPr="00D925EB">
              <w:t>0,1</w:t>
            </w:r>
          </w:p>
        </w:tc>
      </w:tr>
      <w:tr w:rsidR="009058B7" w:rsidRPr="00D925EB" w14:paraId="2948D611" w14:textId="77777777" w:rsidTr="00A950F3">
        <w:trPr>
          <w:trHeight w:val="20"/>
          <w:jc w:val="center"/>
        </w:trPr>
        <w:tc>
          <w:tcPr>
            <w:tcW w:w="1549" w:type="pct"/>
            <w:shd w:val="clear" w:color="auto" w:fill="FFFFFF"/>
            <w:noWrap/>
            <w:vAlign w:val="center"/>
            <w:hideMark/>
          </w:tcPr>
          <w:p w14:paraId="3617FB72"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Coquimbo</w:t>
            </w:r>
          </w:p>
        </w:tc>
        <w:tc>
          <w:tcPr>
            <w:tcW w:w="641" w:type="pct"/>
            <w:shd w:val="clear" w:color="auto" w:fill="FFFFFF"/>
            <w:noWrap/>
          </w:tcPr>
          <w:p w14:paraId="511624B2" w14:textId="24577B8E" w:rsidR="009058B7" w:rsidRPr="00D925EB" w:rsidRDefault="009058B7">
            <w:pPr>
              <w:spacing w:after="0" w:line="360" w:lineRule="auto"/>
              <w:jc w:val="center"/>
              <w:rPr>
                <w:rFonts w:ascii="gobCL" w:eastAsia="Times New Roman" w:hAnsi="gobCL" w:cs="Calibri"/>
                <w:color w:val="000000"/>
                <w:lang w:val="es-ES" w:eastAsia="es-CL"/>
              </w:rPr>
            </w:pPr>
            <w:r w:rsidRPr="00D925EB">
              <w:t>24</w:t>
            </w:r>
          </w:p>
        </w:tc>
        <w:tc>
          <w:tcPr>
            <w:tcW w:w="478" w:type="pct"/>
            <w:shd w:val="clear" w:color="auto" w:fill="FFFFFF"/>
            <w:noWrap/>
          </w:tcPr>
          <w:p w14:paraId="598AAA29" w14:textId="15CF83B0" w:rsidR="009058B7" w:rsidRPr="00D925EB" w:rsidRDefault="009058B7">
            <w:pPr>
              <w:spacing w:after="0" w:line="360" w:lineRule="auto"/>
              <w:jc w:val="center"/>
              <w:rPr>
                <w:rFonts w:ascii="gobCL" w:eastAsia="Times New Roman" w:hAnsi="gobCL" w:cs="Calibri"/>
                <w:color w:val="000000"/>
                <w:lang w:val="es-ES" w:eastAsia="es-CL"/>
              </w:rPr>
            </w:pPr>
            <w:r w:rsidRPr="00D925EB">
              <w:t>2,2</w:t>
            </w:r>
          </w:p>
        </w:tc>
        <w:tc>
          <w:tcPr>
            <w:tcW w:w="122" w:type="pct"/>
            <w:shd w:val="clear" w:color="auto" w:fill="FFFFFF"/>
            <w:vAlign w:val="center"/>
          </w:tcPr>
          <w:p w14:paraId="37AEDD82"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4A748C4F" w14:textId="3C131BAD"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7437827F" w14:textId="0F3709B1"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10962D23"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6C4E59E0" w14:textId="2567A097" w:rsidR="009058B7" w:rsidRPr="00D925EB" w:rsidRDefault="009058B7">
            <w:pPr>
              <w:spacing w:after="0" w:line="360" w:lineRule="auto"/>
              <w:jc w:val="center"/>
              <w:rPr>
                <w:rFonts w:ascii="gobCL" w:eastAsia="Times New Roman" w:hAnsi="gobCL" w:cs="Calibri"/>
                <w:color w:val="000000"/>
                <w:lang w:val="es-ES" w:eastAsia="es-CL"/>
              </w:rPr>
            </w:pPr>
            <w:r w:rsidRPr="00D925EB">
              <w:t>24</w:t>
            </w:r>
          </w:p>
        </w:tc>
        <w:tc>
          <w:tcPr>
            <w:tcW w:w="442" w:type="pct"/>
            <w:shd w:val="clear" w:color="auto" w:fill="FFFFFF"/>
            <w:noWrap/>
          </w:tcPr>
          <w:p w14:paraId="14DACF21" w14:textId="0CF54E7A" w:rsidR="009058B7" w:rsidRPr="00D925EB" w:rsidRDefault="009058B7">
            <w:pPr>
              <w:spacing w:after="0" w:line="360" w:lineRule="auto"/>
              <w:jc w:val="center"/>
              <w:rPr>
                <w:rFonts w:ascii="gobCL" w:eastAsia="Times New Roman" w:hAnsi="gobCL" w:cs="Calibri"/>
                <w:color w:val="000000"/>
                <w:lang w:val="es-ES" w:eastAsia="es-CL"/>
              </w:rPr>
            </w:pPr>
            <w:r w:rsidRPr="00D925EB">
              <w:t>2,2</w:t>
            </w:r>
          </w:p>
        </w:tc>
      </w:tr>
      <w:tr w:rsidR="009058B7" w:rsidRPr="00D925EB" w14:paraId="2239E89A" w14:textId="77777777" w:rsidTr="00A950F3">
        <w:trPr>
          <w:trHeight w:val="20"/>
          <w:jc w:val="center"/>
        </w:trPr>
        <w:tc>
          <w:tcPr>
            <w:tcW w:w="1549" w:type="pct"/>
            <w:shd w:val="clear" w:color="auto" w:fill="FFFFFF"/>
            <w:noWrap/>
            <w:vAlign w:val="center"/>
            <w:hideMark/>
          </w:tcPr>
          <w:p w14:paraId="6A49230A"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Valparaíso</w:t>
            </w:r>
          </w:p>
        </w:tc>
        <w:tc>
          <w:tcPr>
            <w:tcW w:w="641" w:type="pct"/>
            <w:shd w:val="clear" w:color="auto" w:fill="FFFFFF"/>
            <w:noWrap/>
          </w:tcPr>
          <w:p w14:paraId="12D220CF" w14:textId="4B2BB753" w:rsidR="009058B7" w:rsidRPr="00D925EB" w:rsidRDefault="009058B7">
            <w:pPr>
              <w:spacing w:after="0" w:line="360" w:lineRule="auto"/>
              <w:jc w:val="center"/>
              <w:rPr>
                <w:rFonts w:ascii="gobCL" w:eastAsia="Times New Roman" w:hAnsi="gobCL" w:cs="Calibri"/>
                <w:color w:val="000000"/>
                <w:lang w:val="es-ES" w:eastAsia="es-CL"/>
              </w:rPr>
            </w:pPr>
            <w:r w:rsidRPr="00D925EB">
              <w:t>38</w:t>
            </w:r>
          </w:p>
        </w:tc>
        <w:tc>
          <w:tcPr>
            <w:tcW w:w="478" w:type="pct"/>
            <w:shd w:val="clear" w:color="auto" w:fill="FFFFFF"/>
            <w:noWrap/>
          </w:tcPr>
          <w:p w14:paraId="22416770" w14:textId="54FBA252" w:rsidR="009058B7" w:rsidRPr="00D925EB" w:rsidRDefault="009058B7">
            <w:pPr>
              <w:spacing w:after="0" w:line="360" w:lineRule="auto"/>
              <w:jc w:val="center"/>
              <w:rPr>
                <w:rFonts w:ascii="gobCL" w:eastAsia="Times New Roman" w:hAnsi="gobCL" w:cs="Calibri"/>
                <w:color w:val="000000"/>
                <w:lang w:val="es-ES" w:eastAsia="es-CL"/>
              </w:rPr>
            </w:pPr>
            <w:r w:rsidRPr="00D925EB">
              <w:t>3,5</w:t>
            </w:r>
          </w:p>
        </w:tc>
        <w:tc>
          <w:tcPr>
            <w:tcW w:w="122" w:type="pct"/>
            <w:shd w:val="clear" w:color="auto" w:fill="FFFFFF"/>
            <w:vAlign w:val="center"/>
          </w:tcPr>
          <w:p w14:paraId="4229FD0B"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5FDD622A" w14:textId="441995E9" w:rsidR="009058B7" w:rsidRPr="00D925EB" w:rsidRDefault="009058B7">
            <w:pPr>
              <w:spacing w:after="0" w:line="360" w:lineRule="auto"/>
              <w:jc w:val="center"/>
              <w:rPr>
                <w:rFonts w:ascii="gobCL" w:eastAsia="Times New Roman" w:hAnsi="gobCL" w:cs="Calibri"/>
                <w:color w:val="000000"/>
                <w:lang w:val="es-ES" w:eastAsia="es-CL"/>
              </w:rPr>
            </w:pPr>
            <w:r w:rsidRPr="00D925EB">
              <w:t>8</w:t>
            </w:r>
          </w:p>
        </w:tc>
        <w:tc>
          <w:tcPr>
            <w:tcW w:w="444" w:type="pct"/>
            <w:shd w:val="clear" w:color="auto" w:fill="FFFFFF"/>
            <w:noWrap/>
          </w:tcPr>
          <w:p w14:paraId="4B0BD6EC" w14:textId="4D7B934E" w:rsidR="009058B7" w:rsidRPr="00D925EB" w:rsidRDefault="009058B7">
            <w:pPr>
              <w:spacing w:after="0" w:line="360" w:lineRule="auto"/>
              <w:jc w:val="center"/>
              <w:rPr>
                <w:rFonts w:ascii="gobCL" w:eastAsia="Times New Roman" w:hAnsi="gobCL" w:cs="Calibri"/>
                <w:color w:val="000000"/>
                <w:lang w:val="es-ES" w:eastAsia="es-CL"/>
              </w:rPr>
            </w:pPr>
            <w:r w:rsidRPr="00D925EB">
              <w:t>0,7</w:t>
            </w:r>
          </w:p>
        </w:tc>
        <w:tc>
          <w:tcPr>
            <w:tcW w:w="134" w:type="pct"/>
            <w:shd w:val="clear" w:color="auto" w:fill="FFFFFF"/>
            <w:vAlign w:val="center"/>
          </w:tcPr>
          <w:p w14:paraId="20410AA1"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7A4195BB" w14:textId="138887D1" w:rsidR="009058B7" w:rsidRPr="00D925EB" w:rsidRDefault="009058B7">
            <w:pPr>
              <w:spacing w:after="0" w:line="360" w:lineRule="auto"/>
              <w:jc w:val="center"/>
              <w:rPr>
                <w:rFonts w:ascii="gobCL" w:eastAsia="Times New Roman" w:hAnsi="gobCL" w:cs="Calibri"/>
                <w:color w:val="000000"/>
                <w:lang w:val="es-ES" w:eastAsia="es-CL"/>
              </w:rPr>
            </w:pPr>
            <w:r w:rsidRPr="00D925EB">
              <w:t>46</w:t>
            </w:r>
          </w:p>
        </w:tc>
        <w:tc>
          <w:tcPr>
            <w:tcW w:w="442" w:type="pct"/>
            <w:shd w:val="clear" w:color="auto" w:fill="FFFFFF"/>
            <w:noWrap/>
          </w:tcPr>
          <w:p w14:paraId="411A1F92" w14:textId="39D0577E" w:rsidR="009058B7" w:rsidRPr="00D925EB" w:rsidRDefault="009058B7">
            <w:pPr>
              <w:spacing w:after="0" w:line="360" w:lineRule="auto"/>
              <w:jc w:val="center"/>
              <w:rPr>
                <w:rFonts w:ascii="gobCL" w:eastAsia="Times New Roman" w:hAnsi="gobCL" w:cs="Calibri"/>
                <w:color w:val="000000"/>
                <w:lang w:val="es-ES" w:eastAsia="es-CL"/>
              </w:rPr>
            </w:pPr>
            <w:r w:rsidRPr="00D925EB">
              <w:t>4,2</w:t>
            </w:r>
          </w:p>
        </w:tc>
      </w:tr>
      <w:tr w:rsidR="009058B7" w:rsidRPr="00D925EB" w14:paraId="10E180B8" w14:textId="77777777" w:rsidTr="00A950F3">
        <w:trPr>
          <w:trHeight w:val="20"/>
          <w:jc w:val="center"/>
        </w:trPr>
        <w:tc>
          <w:tcPr>
            <w:tcW w:w="1549" w:type="pct"/>
            <w:shd w:val="clear" w:color="auto" w:fill="FFFFFF"/>
            <w:noWrap/>
            <w:vAlign w:val="center"/>
            <w:hideMark/>
          </w:tcPr>
          <w:p w14:paraId="229D1724"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Metropolitana</w:t>
            </w:r>
          </w:p>
        </w:tc>
        <w:tc>
          <w:tcPr>
            <w:tcW w:w="641" w:type="pct"/>
            <w:shd w:val="clear" w:color="auto" w:fill="FFFFFF"/>
            <w:noWrap/>
          </w:tcPr>
          <w:p w14:paraId="7F8D8695" w14:textId="6724C297" w:rsidR="009058B7" w:rsidRPr="00D925EB" w:rsidRDefault="009058B7">
            <w:pPr>
              <w:spacing w:after="0" w:line="360" w:lineRule="auto"/>
              <w:jc w:val="center"/>
              <w:rPr>
                <w:rFonts w:ascii="gobCL" w:eastAsia="Times New Roman" w:hAnsi="gobCL" w:cs="Calibri"/>
                <w:color w:val="000000"/>
                <w:lang w:val="es-ES" w:eastAsia="es-CL"/>
              </w:rPr>
            </w:pPr>
            <w:r w:rsidRPr="00D925EB">
              <w:t>925</w:t>
            </w:r>
          </w:p>
        </w:tc>
        <w:tc>
          <w:tcPr>
            <w:tcW w:w="478" w:type="pct"/>
            <w:shd w:val="clear" w:color="auto" w:fill="FFFFFF"/>
            <w:noWrap/>
          </w:tcPr>
          <w:p w14:paraId="7370FF68" w14:textId="548F0425" w:rsidR="009058B7" w:rsidRPr="00D925EB" w:rsidRDefault="009058B7">
            <w:pPr>
              <w:spacing w:after="0" w:line="360" w:lineRule="auto"/>
              <w:jc w:val="center"/>
              <w:rPr>
                <w:rFonts w:ascii="gobCL" w:eastAsia="Times New Roman" w:hAnsi="gobCL" w:cs="Calibri"/>
                <w:color w:val="000000"/>
                <w:lang w:val="es-ES" w:eastAsia="es-CL"/>
              </w:rPr>
            </w:pPr>
            <w:r w:rsidRPr="00D925EB">
              <w:t>84,6</w:t>
            </w:r>
          </w:p>
        </w:tc>
        <w:tc>
          <w:tcPr>
            <w:tcW w:w="122" w:type="pct"/>
            <w:shd w:val="clear" w:color="auto" w:fill="FFFFFF"/>
            <w:vAlign w:val="center"/>
          </w:tcPr>
          <w:p w14:paraId="51032D98"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01F900F5" w14:textId="2498F239" w:rsidR="009058B7" w:rsidRPr="00D925EB" w:rsidRDefault="009058B7">
            <w:pPr>
              <w:spacing w:after="0" w:line="360" w:lineRule="auto"/>
              <w:jc w:val="center"/>
              <w:rPr>
                <w:rFonts w:ascii="gobCL" w:eastAsia="Times New Roman" w:hAnsi="gobCL" w:cs="Calibri"/>
                <w:color w:val="000000"/>
                <w:lang w:val="es-ES" w:eastAsia="es-CL"/>
              </w:rPr>
            </w:pPr>
            <w:r w:rsidRPr="00D925EB">
              <w:t>3</w:t>
            </w:r>
          </w:p>
        </w:tc>
        <w:tc>
          <w:tcPr>
            <w:tcW w:w="444" w:type="pct"/>
            <w:shd w:val="clear" w:color="auto" w:fill="FFFFFF"/>
            <w:noWrap/>
          </w:tcPr>
          <w:p w14:paraId="48A65739" w14:textId="18CF0688" w:rsidR="009058B7" w:rsidRPr="00D925EB" w:rsidRDefault="009058B7">
            <w:pPr>
              <w:spacing w:after="0" w:line="360" w:lineRule="auto"/>
              <w:jc w:val="center"/>
              <w:rPr>
                <w:rFonts w:ascii="gobCL" w:eastAsia="Times New Roman" w:hAnsi="gobCL" w:cs="Calibri"/>
                <w:color w:val="000000"/>
                <w:lang w:val="es-ES" w:eastAsia="es-CL"/>
              </w:rPr>
            </w:pPr>
            <w:r w:rsidRPr="00D925EB">
              <w:t>0,3</w:t>
            </w:r>
          </w:p>
        </w:tc>
        <w:tc>
          <w:tcPr>
            <w:tcW w:w="134" w:type="pct"/>
            <w:shd w:val="clear" w:color="auto" w:fill="FFFFFF"/>
            <w:vAlign w:val="center"/>
          </w:tcPr>
          <w:p w14:paraId="306D0399"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612FBF8D" w14:textId="77CF10EC" w:rsidR="009058B7" w:rsidRPr="00D925EB" w:rsidRDefault="009058B7">
            <w:pPr>
              <w:spacing w:after="0" w:line="360" w:lineRule="auto"/>
              <w:jc w:val="center"/>
              <w:rPr>
                <w:rFonts w:ascii="gobCL" w:eastAsia="Times New Roman" w:hAnsi="gobCL" w:cs="Calibri"/>
                <w:color w:val="000000"/>
                <w:lang w:val="es-ES" w:eastAsia="es-CL"/>
              </w:rPr>
            </w:pPr>
            <w:r w:rsidRPr="00D925EB">
              <w:t>928</w:t>
            </w:r>
          </w:p>
        </w:tc>
        <w:tc>
          <w:tcPr>
            <w:tcW w:w="442" w:type="pct"/>
            <w:shd w:val="clear" w:color="auto" w:fill="FFFFFF"/>
            <w:noWrap/>
          </w:tcPr>
          <w:p w14:paraId="7FD45C2F" w14:textId="08B946F5" w:rsidR="009058B7" w:rsidRPr="00D925EB" w:rsidRDefault="009058B7">
            <w:pPr>
              <w:spacing w:after="0" w:line="360" w:lineRule="auto"/>
              <w:jc w:val="center"/>
              <w:rPr>
                <w:rFonts w:ascii="gobCL" w:eastAsia="Times New Roman" w:hAnsi="gobCL" w:cs="Calibri"/>
                <w:color w:val="000000"/>
                <w:lang w:val="es-ES" w:eastAsia="es-CL"/>
              </w:rPr>
            </w:pPr>
            <w:r w:rsidRPr="00D925EB">
              <w:t>84,9</w:t>
            </w:r>
          </w:p>
        </w:tc>
      </w:tr>
      <w:tr w:rsidR="009058B7" w:rsidRPr="00D925EB" w14:paraId="63F70607" w14:textId="77777777" w:rsidTr="00A950F3">
        <w:trPr>
          <w:trHeight w:val="20"/>
          <w:jc w:val="center"/>
        </w:trPr>
        <w:tc>
          <w:tcPr>
            <w:tcW w:w="1549" w:type="pct"/>
            <w:shd w:val="clear" w:color="auto" w:fill="FFFFFF"/>
            <w:noWrap/>
            <w:vAlign w:val="center"/>
            <w:hideMark/>
          </w:tcPr>
          <w:p w14:paraId="3613E03F"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O´Higgins</w:t>
            </w:r>
          </w:p>
        </w:tc>
        <w:tc>
          <w:tcPr>
            <w:tcW w:w="641" w:type="pct"/>
            <w:shd w:val="clear" w:color="auto" w:fill="FFFFFF"/>
            <w:noWrap/>
          </w:tcPr>
          <w:p w14:paraId="338E9CB7" w14:textId="084A1A16" w:rsidR="009058B7" w:rsidRPr="00D925EB" w:rsidRDefault="009058B7">
            <w:pPr>
              <w:spacing w:after="0" w:line="360" w:lineRule="auto"/>
              <w:jc w:val="center"/>
              <w:rPr>
                <w:rFonts w:ascii="gobCL" w:eastAsia="Times New Roman" w:hAnsi="gobCL" w:cs="Calibri"/>
                <w:color w:val="000000"/>
                <w:lang w:val="es-ES" w:eastAsia="es-CL"/>
              </w:rPr>
            </w:pPr>
            <w:r w:rsidRPr="00D925EB">
              <w:t>11</w:t>
            </w:r>
          </w:p>
        </w:tc>
        <w:tc>
          <w:tcPr>
            <w:tcW w:w="478" w:type="pct"/>
            <w:shd w:val="clear" w:color="auto" w:fill="FFFFFF"/>
            <w:noWrap/>
          </w:tcPr>
          <w:p w14:paraId="011EEB6E" w14:textId="0D9EEFEA" w:rsidR="009058B7" w:rsidRPr="00D925EB" w:rsidRDefault="009058B7">
            <w:pPr>
              <w:spacing w:after="0" w:line="360" w:lineRule="auto"/>
              <w:jc w:val="center"/>
              <w:rPr>
                <w:rFonts w:ascii="gobCL" w:eastAsia="Times New Roman" w:hAnsi="gobCL" w:cs="Calibri"/>
                <w:color w:val="000000"/>
                <w:lang w:val="es-ES" w:eastAsia="es-CL"/>
              </w:rPr>
            </w:pPr>
            <w:r w:rsidRPr="00D925EB">
              <w:t>1,0</w:t>
            </w:r>
          </w:p>
        </w:tc>
        <w:tc>
          <w:tcPr>
            <w:tcW w:w="122" w:type="pct"/>
            <w:shd w:val="clear" w:color="auto" w:fill="FFFFFF"/>
            <w:vAlign w:val="center"/>
          </w:tcPr>
          <w:p w14:paraId="1A3A915D"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53E74B51" w14:textId="1A9141BC"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6B41400C" w14:textId="593A5829"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4142F7CF"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412985F5" w14:textId="5DC9302F" w:rsidR="009058B7" w:rsidRPr="00D925EB" w:rsidRDefault="009058B7">
            <w:pPr>
              <w:spacing w:after="0" w:line="360" w:lineRule="auto"/>
              <w:jc w:val="center"/>
              <w:rPr>
                <w:rFonts w:ascii="gobCL" w:eastAsia="Times New Roman" w:hAnsi="gobCL" w:cs="Calibri"/>
                <w:color w:val="000000"/>
                <w:lang w:val="es-ES" w:eastAsia="es-CL"/>
              </w:rPr>
            </w:pPr>
            <w:r w:rsidRPr="00D925EB">
              <w:t>11</w:t>
            </w:r>
          </w:p>
        </w:tc>
        <w:tc>
          <w:tcPr>
            <w:tcW w:w="442" w:type="pct"/>
            <w:shd w:val="clear" w:color="auto" w:fill="FFFFFF"/>
            <w:noWrap/>
          </w:tcPr>
          <w:p w14:paraId="7104E5F6" w14:textId="46E3D1BC" w:rsidR="009058B7" w:rsidRPr="00D925EB" w:rsidRDefault="009058B7">
            <w:pPr>
              <w:spacing w:after="0" w:line="360" w:lineRule="auto"/>
              <w:jc w:val="center"/>
              <w:rPr>
                <w:rFonts w:ascii="gobCL" w:eastAsia="Times New Roman" w:hAnsi="gobCL" w:cs="Calibri"/>
                <w:color w:val="000000"/>
                <w:lang w:val="es-ES" w:eastAsia="es-CL"/>
              </w:rPr>
            </w:pPr>
            <w:r w:rsidRPr="00D925EB">
              <w:t>1,0</w:t>
            </w:r>
          </w:p>
        </w:tc>
      </w:tr>
      <w:tr w:rsidR="009058B7" w:rsidRPr="00D925EB" w14:paraId="1A1BDBDE" w14:textId="77777777" w:rsidTr="00A950F3">
        <w:trPr>
          <w:trHeight w:val="20"/>
          <w:jc w:val="center"/>
        </w:trPr>
        <w:tc>
          <w:tcPr>
            <w:tcW w:w="1549" w:type="pct"/>
            <w:shd w:val="clear" w:color="auto" w:fill="FFFFFF"/>
            <w:noWrap/>
            <w:vAlign w:val="center"/>
            <w:hideMark/>
          </w:tcPr>
          <w:p w14:paraId="16AF1788"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Maule</w:t>
            </w:r>
          </w:p>
        </w:tc>
        <w:tc>
          <w:tcPr>
            <w:tcW w:w="641" w:type="pct"/>
            <w:shd w:val="clear" w:color="auto" w:fill="FFFFFF"/>
            <w:noWrap/>
          </w:tcPr>
          <w:p w14:paraId="56267FD7" w14:textId="1DD781CE" w:rsidR="009058B7" w:rsidRPr="00D925EB" w:rsidRDefault="009058B7">
            <w:pPr>
              <w:spacing w:after="0" w:line="360" w:lineRule="auto"/>
              <w:jc w:val="center"/>
              <w:rPr>
                <w:rFonts w:ascii="gobCL" w:eastAsia="Times New Roman" w:hAnsi="gobCL" w:cs="Calibri"/>
                <w:color w:val="000000"/>
                <w:lang w:val="es-ES" w:eastAsia="es-CL"/>
              </w:rPr>
            </w:pPr>
            <w:r w:rsidRPr="00D925EB">
              <w:t>8</w:t>
            </w:r>
          </w:p>
        </w:tc>
        <w:tc>
          <w:tcPr>
            <w:tcW w:w="478" w:type="pct"/>
            <w:shd w:val="clear" w:color="auto" w:fill="FFFFFF"/>
            <w:noWrap/>
          </w:tcPr>
          <w:p w14:paraId="1E03473B" w14:textId="256689C6" w:rsidR="009058B7" w:rsidRPr="00D925EB" w:rsidRDefault="009058B7">
            <w:pPr>
              <w:spacing w:after="0" w:line="360" w:lineRule="auto"/>
              <w:jc w:val="center"/>
              <w:rPr>
                <w:rFonts w:ascii="gobCL" w:eastAsia="Times New Roman" w:hAnsi="gobCL" w:cs="Calibri"/>
                <w:color w:val="000000"/>
                <w:lang w:val="es-ES" w:eastAsia="es-CL"/>
              </w:rPr>
            </w:pPr>
            <w:r w:rsidRPr="00D925EB">
              <w:t>0,7</w:t>
            </w:r>
          </w:p>
        </w:tc>
        <w:tc>
          <w:tcPr>
            <w:tcW w:w="122" w:type="pct"/>
            <w:shd w:val="clear" w:color="auto" w:fill="FFFFFF"/>
            <w:vAlign w:val="center"/>
          </w:tcPr>
          <w:p w14:paraId="7ED05A07"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1A1AB635" w14:textId="519398A5"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0DCCC5E1" w14:textId="2E55050C"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03D00C2E"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5F6FE01B" w14:textId="0A4A5E0F" w:rsidR="009058B7" w:rsidRPr="00D925EB" w:rsidRDefault="009058B7">
            <w:pPr>
              <w:spacing w:after="0" w:line="360" w:lineRule="auto"/>
              <w:jc w:val="center"/>
              <w:rPr>
                <w:rFonts w:ascii="gobCL" w:eastAsia="Times New Roman" w:hAnsi="gobCL" w:cs="Calibri"/>
                <w:color w:val="000000"/>
                <w:lang w:val="es-ES" w:eastAsia="es-CL"/>
              </w:rPr>
            </w:pPr>
            <w:r w:rsidRPr="00D925EB">
              <w:t>8</w:t>
            </w:r>
          </w:p>
        </w:tc>
        <w:tc>
          <w:tcPr>
            <w:tcW w:w="442" w:type="pct"/>
            <w:shd w:val="clear" w:color="auto" w:fill="FFFFFF"/>
            <w:noWrap/>
          </w:tcPr>
          <w:p w14:paraId="61F549C4" w14:textId="2CF203FF" w:rsidR="009058B7" w:rsidRPr="00D925EB" w:rsidRDefault="009058B7">
            <w:pPr>
              <w:spacing w:after="0" w:line="360" w:lineRule="auto"/>
              <w:jc w:val="center"/>
              <w:rPr>
                <w:rFonts w:ascii="gobCL" w:eastAsia="Times New Roman" w:hAnsi="gobCL" w:cs="Calibri"/>
                <w:color w:val="000000"/>
                <w:lang w:val="es-ES" w:eastAsia="es-CL"/>
              </w:rPr>
            </w:pPr>
            <w:r w:rsidRPr="00D925EB">
              <w:t>0,7</w:t>
            </w:r>
          </w:p>
        </w:tc>
      </w:tr>
      <w:tr w:rsidR="009058B7" w:rsidRPr="00D925EB" w14:paraId="10115F00" w14:textId="77777777" w:rsidTr="00A950F3">
        <w:trPr>
          <w:trHeight w:val="20"/>
          <w:jc w:val="center"/>
        </w:trPr>
        <w:tc>
          <w:tcPr>
            <w:tcW w:w="1549" w:type="pct"/>
            <w:shd w:val="clear" w:color="auto" w:fill="FFFFFF"/>
            <w:noWrap/>
            <w:vAlign w:val="center"/>
            <w:hideMark/>
          </w:tcPr>
          <w:p w14:paraId="39CE8A32"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Ñuble</w:t>
            </w:r>
          </w:p>
        </w:tc>
        <w:tc>
          <w:tcPr>
            <w:tcW w:w="641" w:type="pct"/>
            <w:shd w:val="clear" w:color="auto" w:fill="FFFFFF"/>
            <w:noWrap/>
          </w:tcPr>
          <w:p w14:paraId="439882FF" w14:textId="6F9B7E12" w:rsidR="009058B7" w:rsidRPr="00D925EB" w:rsidRDefault="009058B7">
            <w:pPr>
              <w:spacing w:after="0" w:line="360" w:lineRule="auto"/>
              <w:jc w:val="center"/>
              <w:rPr>
                <w:rFonts w:ascii="gobCL" w:eastAsia="Times New Roman" w:hAnsi="gobCL" w:cs="Calibri"/>
                <w:color w:val="000000"/>
                <w:lang w:val="es-ES" w:eastAsia="es-CL"/>
              </w:rPr>
            </w:pPr>
            <w:r w:rsidRPr="00D925EB">
              <w:t>2</w:t>
            </w:r>
          </w:p>
        </w:tc>
        <w:tc>
          <w:tcPr>
            <w:tcW w:w="478" w:type="pct"/>
            <w:shd w:val="clear" w:color="auto" w:fill="FFFFFF"/>
            <w:noWrap/>
          </w:tcPr>
          <w:p w14:paraId="4CE63A84" w14:textId="69C03962" w:rsidR="009058B7" w:rsidRPr="00D925EB" w:rsidRDefault="009058B7">
            <w:pPr>
              <w:spacing w:after="0" w:line="360" w:lineRule="auto"/>
              <w:jc w:val="center"/>
              <w:rPr>
                <w:rFonts w:ascii="gobCL" w:eastAsia="Times New Roman" w:hAnsi="gobCL" w:cs="Calibri"/>
                <w:color w:val="000000"/>
                <w:lang w:val="es-ES" w:eastAsia="es-CL"/>
              </w:rPr>
            </w:pPr>
            <w:r w:rsidRPr="00D925EB">
              <w:t>0,2</w:t>
            </w:r>
          </w:p>
        </w:tc>
        <w:tc>
          <w:tcPr>
            <w:tcW w:w="122" w:type="pct"/>
            <w:shd w:val="clear" w:color="auto" w:fill="FFFFFF"/>
            <w:vAlign w:val="center"/>
          </w:tcPr>
          <w:p w14:paraId="375FB78A"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6E10FDF3" w14:textId="2653D97F"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1CEB44CC" w14:textId="0EAF6345"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08BB00C8"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0919B4C1" w14:textId="620716E6" w:rsidR="009058B7" w:rsidRPr="00D925EB" w:rsidRDefault="009058B7">
            <w:pPr>
              <w:spacing w:after="0" w:line="360" w:lineRule="auto"/>
              <w:jc w:val="center"/>
              <w:rPr>
                <w:rFonts w:ascii="gobCL" w:eastAsia="Times New Roman" w:hAnsi="gobCL" w:cs="Calibri"/>
                <w:color w:val="000000"/>
                <w:lang w:val="es-ES" w:eastAsia="es-CL"/>
              </w:rPr>
            </w:pPr>
            <w:r w:rsidRPr="00D925EB">
              <w:t>2</w:t>
            </w:r>
          </w:p>
        </w:tc>
        <w:tc>
          <w:tcPr>
            <w:tcW w:w="442" w:type="pct"/>
            <w:shd w:val="clear" w:color="auto" w:fill="FFFFFF"/>
            <w:noWrap/>
          </w:tcPr>
          <w:p w14:paraId="3A37F727" w14:textId="5B901A49" w:rsidR="009058B7" w:rsidRPr="00D925EB" w:rsidRDefault="009058B7">
            <w:pPr>
              <w:spacing w:after="0" w:line="360" w:lineRule="auto"/>
              <w:jc w:val="center"/>
              <w:rPr>
                <w:rFonts w:ascii="gobCL" w:eastAsia="Times New Roman" w:hAnsi="gobCL" w:cs="Calibri"/>
                <w:color w:val="000000"/>
                <w:lang w:val="es-ES" w:eastAsia="es-CL"/>
              </w:rPr>
            </w:pPr>
            <w:r w:rsidRPr="00D925EB">
              <w:t>0,2</w:t>
            </w:r>
          </w:p>
        </w:tc>
      </w:tr>
      <w:tr w:rsidR="009058B7" w:rsidRPr="00D925EB" w14:paraId="02EFE283" w14:textId="77777777" w:rsidTr="00A950F3">
        <w:trPr>
          <w:trHeight w:val="20"/>
          <w:jc w:val="center"/>
        </w:trPr>
        <w:tc>
          <w:tcPr>
            <w:tcW w:w="1549" w:type="pct"/>
            <w:shd w:val="clear" w:color="auto" w:fill="FFFFFF"/>
            <w:noWrap/>
            <w:vAlign w:val="center"/>
            <w:hideMark/>
          </w:tcPr>
          <w:p w14:paraId="05762F96"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Biobío</w:t>
            </w:r>
          </w:p>
        </w:tc>
        <w:tc>
          <w:tcPr>
            <w:tcW w:w="641" w:type="pct"/>
            <w:shd w:val="clear" w:color="auto" w:fill="FFFFFF"/>
            <w:noWrap/>
          </w:tcPr>
          <w:p w14:paraId="220C43E4" w14:textId="3B406842" w:rsidR="009058B7" w:rsidRPr="00D925EB" w:rsidRDefault="009058B7">
            <w:pPr>
              <w:spacing w:after="0" w:line="360" w:lineRule="auto"/>
              <w:jc w:val="center"/>
              <w:rPr>
                <w:rFonts w:ascii="gobCL" w:eastAsia="Times New Roman" w:hAnsi="gobCL" w:cs="Calibri"/>
                <w:color w:val="000000"/>
                <w:lang w:val="es-ES" w:eastAsia="es-CL"/>
              </w:rPr>
            </w:pPr>
            <w:r w:rsidRPr="00D925EB">
              <w:t>20</w:t>
            </w:r>
          </w:p>
        </w:tc>
        <w:tc>
          <w:tcPr>
            <w:tcW w:w="478" w:type="pct"/>
            <w:shd w:val="clear" w:color="auto" w:fill="FFFFFF"/>
            <w:noWrap/>
          </w:tcPr>
          <w:p w14:paraId="4B9556B9" w14:textId="0E66573F" w:rsidR="009058B7" w:rsidRPr="00D925EB" w:rsidRDefault="009058B7">
            <w:pPr>
              <w:spacing w:after="0" w:line="360" w:lineRule="auto"/>
              <w:jc w:val="center"/>
              <w:rPr>
                <w:rFonts w:ascii="gobCL" w:eastAsia="Times New Roman" w:hAnsi="gobCL" w:cs="Calibri"/>
                <w:color w:val="000000"/>
                <w:lang w:val="es-ES" w:eastAsia="es-CL"/>
              </w:rPr>
            </w:pPr>
            <w:r w:rsidRPr="00D925EB">
              <w:t>1,8</w:t>
            </w:r>
          </w:p>
        </w:tc>
        <w:tc>
          <w:tcPr>
            <w:tcW w:w="122" w:type="pct"/>
            <w:shd w:val="clear" w:color="auto" w:fill="FFFFFF"/>
            <w:vAlign w:val="center"/>
          </w:tcPr>
          <w:p w14:paraId="3B2CC954"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4034785A" w14:textId="79CB91A9"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37F9F08F" w14:textId="79801399"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0A8E6BF4"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14D0267E" w14:textId="45067143" w:rsidR="009058B7" w:rsidRPr="00D925EB" w:rsidRDefault="009058B7">
            <w:pPr>
              <w:spacing w:after="0" w:line="360" w:lineRule="auto"/>
              <w:jc w:val="center"/>
              <w:rPr>
                <w:rFonts w:ascii="gobCL" w:eastAsia="Times New Roman" w:hAnsi="gobCL" w:cs="Calibri"/>
                <w:color w:val="000000"/>
                <w:lang w:val="es-ES" w:eastAsia="es-CL"/>
              </w:rPr>
            </w:pPr>
            <w:r w:rsidRPr="00D925EB">
              <w:t>20</w:t>
            </w:r>
          </w:p>
        </w:tc>
        <w:tc>
          <w:tcPr>
            <w:tcW w:w="442" w:type="pct"/>
            <w:shd w:val="clear" w:color="auto" w:fill="FFFFFF"/>
            <w:noWrap/>
          </w:tcPr>
          <w:p w14:paraId="106161C1" w14:textId="424D5BC1" w:rsidR="009058B7" w:rsidRPr="00D925EB" w:rsidRDefault="009058B7">
            <w:pPr>
              <w:spacing w:after="0" w:line="360" w:lineRule="auto"/>
              <w:jc w:val="center"/>
              <w:rPr>
                <w:rFonts w:ascii="gobCL" w:eastAsia="Times New Roman" w:hAnsi="gobCL" w:cs="Calibri"/>
                <w:color w:val="000000"/>
                <w:lang w:val="es-ES" w:eastAsia="es-CL"/>
              </w:rPr>
            </w:pPr>
            <w:r w:rsidRPr="00D925EB">
              <w:t>1,8</w:t>
            </w:r>
          </w:p>
        </w:tc>
      </w:tr>
      <w:tr w:rsidR="009058B7" w:rsidRPr="00D925EB" w14:paraId="46B4F0A6" w14:textId="77777777" w:rsidTr="00A950F3">
        <w:trPr>
          <w:trHeight w:val="20"/>
          <w:jc w:val="center"/>
        </w:trPr>
        <w:tc>
          <w:tcPr>
            <w:tcW w:w="1549" w:type="pct"/>
            <w:shd w:val="clear" w:color="auto" w:fill="FFFFFF"/>
            <w:noWrap/>
            <w:vAlign w:val="center"/>
            <w:hideMark/>
          </w:tcPr>
          <w:p w14:paraId="47D1744F"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Araucanía</w:t>
            </w:r>
          </w:p>
        </w:tc>
        <w:tc>
          <w:tcPr>
            <w:tcW w:w="641" w:type="pct"/>
            <w:shd w:val="clear" w:color="auto" w:fill="FFFFFF"/>
            <w:noWrap/>
          </w:tcPr>
          <w:p w14:paraId="4967E7CC" w14:textId="30EC7F39" w:rsidR="009058B7" w:rsidRPr="00D925EB" w:rsidRDefault="009058B7">
            <w:pPr>
              <w:spacing w:after="0" w:line="360" w:lineRule="auto"/>
              <w:jc w:val="center"/>
              <w:rPr>
                <w:rFonts w:ascii="gobCL" w:eastAsia="Times New Roman" w:hAnsi="gobCL" w:cs="Calibri"/>
                <w:color w:val="000000"/>
                <w:lang w:val="es-ES" w:eastAsia="es-CL"/>
              </w:rPr>
            </w:pPr>
            <w:r w:rsidRPr="00D925EB">
              <w:t>11</w:t>
            </w:r>
          </w:p>
        </w:tc>
        <w:tc>
          <w:tcPr>
            <w:tcW w:w="478" w:type="pct"/>
            <w:shd w:val="clear" w:color="auto" w:fill="FFFFFF"/>
            <w:noWrap/>
          </w:tcPr>
          <w:p w14:paraId="32345992" w14:textId="072DBBEB" w:rsidR="009058B7" w:rsidRPr="00D925EB" w:rsidRDefault="009058B7">
            <w:pPr>
              <w:spacing w:after="0" w:line="360" w:lineRule="auto"/>
              <w:jc w:val="center"/>
              <w:rPr>
                <w:rFonts w:ascii="gobCL" w:eastAsia="Times New Roman" w:hAnsi="gobCL" w:cs="Calibri"/>
                <w:color w:val="000000"/>
                <w:lang w:val="es-ES" w:eastAsia="es-CL"/>
              </w:rPr>
            </w:pPr>
            <w:r w:rsidRPr="00D925EB">
              <w:t>1,0</w:t>
            </w:r>
          </w:p>
        </w:tc>
        <w:tc>
          <w:tcPr>
            <w:tcW w:w="122" w:type="pct"/>
            <w:shd w:val="clear" w:color="auto" w:fill="FFFFFF"/>
            <w:vAlign w:val="center"/>
          </w:tcPr>
          <w:p w14:paraId="1D5D156D"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170BB2D8" w14:textId="119FE6E6" w:rsidR="009058B7" w:rsidRPr="00D925EB" w:rsidRDefault="009058B7">
            <w:pPr>
              <w:spacing w:after="0" w:line="360" w:lineRule="auto"/>
              <w:jc w:val="center"/>
              <w:rPr>
                <w:rFonts w:ascii="gobCL" w:eastAsia="Times New Roman" w:hAnsi="gobCL" w:cs="Calibri"/>
                <w:color w:val="000000"/>
                <w:lang w:val="es-ES" w:eastAsia="es-CL"/>
              </w:rPr>
            </w:pPr>
            <w:r w:rsidRPr="00D925EB">
              <w:t>1</w:t>
            </w:r>
          </w:p>
        </w:tc>
        <w:tc>
          <w:tcPr>
            <w:tcW w:w="444" w:type="pct"/>
            <w:shd w:val="clear" w:color="auto" w:fill="FFFFFF"/>
            <w:noWrap/>
          </w:tcPr>
          <w:p w14:paraId="36D8BD72" w14:textId="417CC400" w:rsidR="009058B7" w:rsidRPr="00D925EB" w:rsidRDefault="009058B7">
            <w:pPr>
              <w:spacing w:after="0" w:line="360" w:lineRule="auto"/>
              <w:jc w:val="center"/>
              <w:rPr>
                <w:rFonts w:ascii="gobCL" w:eastAsia="Times New Roman" w:hAnsi="gobCL" w:cs="Calibri"/>
                <w:color w:val="000000"/>
                <w:lang w:val="es-ES" w:eastAsia="es-CL"/>
              </w:rPr>
            </w:pPr>
            <w:r w:rsidRPr="00D925EB">
              <w:t>0,1</w:t>
            </w:r>
          </w:p>
        </w:tc>
        <w:tc>
          <w:tcPr>
            <w:tcW w:w="134" w:type="pct"/>
            <w:shd w:val="clear" w:color="auto" w:fill="FFFFFF"/>
            <w:vAlign w:val="center"/>
          </w:tcPr>
          <w:p w14:paraId="33E88200"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79D00DB1" w14:textId="2333ECE9" w:rsidR="009058B7" w:rsidRPr="00D925EB" w:rsidRDefault="009058B7">
            <w:pPr>
              <w:spacing w:after="0" w:line="360" w:lineRule="auto"/>
              <w:jc w:val="center"/>
              <w:rPr>
                <w:rFonts w:ascii="gobCL" w:eastAsia="Times New Roman" w:hAnsi="gobCL" w:cs="Calibri"/>
                <w:color w:val="000000"/>
                <w:lang w:val="es-ES" w:eastAsia="es-CL"/>
              </w:rPr>
            </w:pPr>
            <w:r w:rsidRPr="00D925EB">
              <w:t>12</w:t>
            </w:r>
          </w:p>
        </w:tc>
        <w:tc>
          <w:tcPr>
            <w:tcW w:w="442" w:type="pct"/>
            <w:shd w:val="clear" w:color="auto" w:fill="FFFFFF"/>
            <w:noWrap/>
          </w:tcPr>
          <w:p w14:paraId="3DAA3B62" w14:textId="2CC5D0E8" w:rsidR="009058B7" w:rsidRPr="00D925EB" w:rsidRDefault="009058B7">
            <w:pPr>
              <w:spacing w:after="0" w:line="360" w:lineRule="auto"/>
              <w:jc w:val="center"/>
              <w:rPr>
                <w:rFonts w:ascii="gobCL" w:eastAsia="Times New Roman" w:hAnsi="gobCL" w:cs="Calibri"/>
                <w:color w:val="000000"/>
                <w:lang w:val="es-ES" w:eastAsia="es-CL"/>
              </w:rPr>
            </w:pPr>
            <w:r w:rsidRPr="00D925EB">
              <w:t>1,1</w:t>
            </w:r>
          </w:p>
        </w:tc>
      </w:tr>
      <w:tr w:rsidR="009058B7" w:rsidRPr="00D925EB" w14:paraId="01EC4B8D" w14:textId="77777777" w:rsidTr="00A950F3">
        <w:trPr>
          <w:trHeight w:val="20"/>
          <w:jc w:val="center"/>
        </w:trPr>
        <w:tc>
          <w:tcPr>
            <w:tcW w:w="1549" w:type="pct"/>
            <w:shd w:val="clear" w:color="auto" w:fill="FFFFFF"/>
            <w:noWrap/>
            <w:vAlign w:val="center"/>
            <w:hideMark/>
          </w:tcPr>
          <w:p w14:paraId="2680E62D"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Los Ríos</w:t>
            </w:r>
          </w:p>
        </w:tc>
        <w:tc>
          <w:tcPr>
            <w:tcW w:w="641" w:type="pct"/>
            <w:shd w:val="clear" w:color="auto" w:fill="FFFFFF"/>
            <w:noWrap/>
          </w:tcPr>
          <w:p w14:paraId="3A0B05F8" w14:textId="7BD97FFA" w:rsidR="009058B7" w:rsidRPr="00D925EB" w:rsidRDefault="009058B7">
            <w:pPr>
              <w:spacing w:after="0" w:line="360" w:lineRule="auto"/>
              <w:jc w:val="center"/>
              <w:rPr>
                <w:rFonts w:ascii="gobCL" w:eastAsia="Times New Roman" w:hAnsi="gobCL" w:cs="Calibri"/>
                <w:color w:val="000000"/>
                <w:lang w:val="es-ES" w:eastAsia="es-CL"/>
              </w:rPr>
            </w:pPr>
            <w:r w:rsidRPr="00D925EB">
              <w:t>3</w:t>
            </w:r>
          </w:p>
        </w:tc>
        <w:tc>
          <w:tcPr>
            <w:tcW w:w="478" w:type="pct"/>
            <w:shd w:val="clear" w:color="auto" w:fill="FFFFFF"/>
            <w:noWrap/>
          </w:tcPr>
          <w:p w14:paraId="53F0C8B8" w14:textId="008EEA69" w:rsidR="009058B7" w:rsidRPr="00D925EB" w:rsidRDefault="009058B7">
            <w:pPr>
              <w:spacing w:after="0" w:line="360" w:lineRule="auto"/>
              <w:jc w:val="center"/>
              <w:rPr>
                <w:rFonts w:ascii="gobCL" w:eastAsia="Times New Roman" w:hAnsi="gobCL" w:cs="Calibri"/>
                <w:color w:val="000000"/>
                <w:lang w:val="es-ES" w:eastAsia="es-CL"/>
              </w:rPr>
            </w:pPr>
            <w:r w:rsidRPr="00D925EB">
              <w:t>0,3</w:t>
            </w:r>
          </w:p>
        </w:tc>
        <w:tc>
          <w:tcPr>
            <w:tcW w:w="122" w:type="pct"/>
            <w:shd w:val="clear" w:color="auto" w:fill="FFFFFF"/>
            <w:vAlign w:val="center"/>
          </w:tcPr>
          <w:p w14:paraId="57511B93"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5D9BC359" w14:textId="3E69CB9D"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3BA20B38" w14:textId="6A7811BC"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52952DAC"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40060084" w14:textId="1A146AC2" w:rsidR="009058B7" w:rsidRPr="00D925EB" w:rsidRDefault="009058B7">
            <w:pPr>
              <w:spacing w:after="0" w:line="360" w:lineRule="auto"/>
              <w:jc w:val="center"/>
              <w:rPr>
                <w:rFonts w:ascii="gobCL" w:eastAsia="Times New Roman" w:hAnsi="gobCL" w:cs="Calibri"/>
                <w:color w:val="000000"/>
                <w:lang w:val="es-ES" w:eastAsia="es-CL"/>
              </w:rPr>
            </w:pPr>
            <w:r w:rsidRPr="00D925EB">
              <w:t>3</w:t>
            </w:r>
          </w:p>
        </w:tc>
        <w:tc>
          <w:tcPr>
            <w:tcW w:w="442" w:type="pct"/>
            <w:shd w:val="clear" w:color="auto" w:fill="FFFFFF"/>
            <w:noWrap/>
          </w:tcPr>
          <w:p w14:paraId="414EAA69" w14:textId="3BEC2D4C" w:rsidR="009058B7" w:rsidRPr="00D925EB" w:rsidRDefault="009058B7">
            <w:pPr>
              <w:spacing w:after="0" w:line="360" w:lineRule="auto"/>
              <w:jc w:val="center"/>
              <w:rPr>
                <w:rFonts w:ascii="gobCL" w:eastAsia="Times New Roman" w:hAnsi="gobCL" w:cs="Calibri"/>
                <w:color w:val="000000"/>
                <w:lang w:val="es-ES" w:eastAsia="es-CL"/>
              </w:rPr>
            </w:pPr>
            <w:r w:rsidRPr="00D925EB">
              <w:t>0,3</w:t>
            </w:r>
          </w:p>
        </w:tc>
      </w:tr>
      <w:tr w:rsidR="009058B7" w:rsidRPr="00D925EB" w14:paraId="78383D91" w14:textId="77777777" w:rsidTr="00A950F3">
        <w:trPr>
          <w:trHeight w:val="20"/>
          <w:jc w:val="center"/>
        </w:trPr>
        <w:tc>
          <w:tcPr>
            <w:tcW w:w="1549" w:type="pct"/>
            <w:shd w:val="clear" w:color="auto" w:fill="FFFFFF"/>
            <w:noWrap/>
            <w:vAlign w:val="center"/>
            <w:hideMark/>
          </w:tcPr>
          <w:p w14:paraId="611B05AF"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Los Lagos</w:t>
            </w:r>
          </w:p>
        </w:tc>
        <w:tc>
          <w:tcPr>
            <w:tcW w:w="641" w:type="pct"/>
            <w:shd w:val="clear" w:color="auto" w:fill="FFFFFF"/>
            <w:noWrap/>
          </w:tcPr>
          <w:p w14:paraId="64B603E2" w14:textId="620F8497" w:rsidR="009058B7" w:rsidRPr="00D925EB" w:rsidRDefault="009058B7">
            <w:pPr>
              <w:spacing w:after="0" w:line="360" w:lineRule="auto"/>
              <w:jc w:val="center"/>
              <w:rPr>
                <w:rFonts w:ascii="gobCL" w:eastAsia="Times New Roman" w:hAnsi="gobCL" w:cs="Calibri"/>
                <w:color w:val="000000"/>
                <w:lang w:val="es-ES" w:eastAsia="es-CL"/>
              </w:rPr>
            </w:pPr>
            <w:r w:rsidRPr="00D925EB">
              <w:t>3</w:t>
            </w:r>
          </w:p>
        </w:tc>
        <w:tc>
          <w:tcPr>
            <w:tcW w:w="478" w:type="pct"/>
            <w:shd w:val="clear" w:color="auto" w:fill="FFFFFF"/>
            <w:noWrap/>
          </w:tcPr>
          <w:p w14:paraId="35BFE8DE" w14:textId="05C36EED" w:rsidR="009058B7" w:rsidRPr="00D925EB" w:rsidRDefault="009058B7">
            <w:pPr>
              <w:spacing w:after="0" w:line="360" w:lineRule="auto"/>
              <w:jc w:val="center"/>
              <w:rPr>
                <w:rFonts w:ascii="gobCL" w:eastAsia="Times New Roman" w:hAnsi="gobCL" w:cs="Calibri"/>
                <w:color w:val="000000"/>
                <w:lang w:val="es-ES" w:eastAsia="es-CL"/>
              </w:rPr>
            </w:pPr>
            <w:r w:rsidRPr="00D925EB">
              <w:t>0,3</w:t>
            </w:r>
          </w:p>
        </w:tc>
        <w:tc>
          <w:tcPr>
            <w:tcW w:w="122" w:type="pct"/>
            <w:shd w:val="clear" w:color="auto" w:fill="FFFFFF"/>
            <w:vAlign w:val="center"/>
          </w:tcPr>
          <w:p w14:paraId="1E55587A"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4B301344" w14:textId="7BB51981"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0E5FF478" w14:textId="1B4D3C0E"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12324E21"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2EEBF3BF" w14:textId="1C504C3A" w:rsidR="009058B7" w:rsidRPr="00D925EB" w:rsidRDefault="009058B7">
            <w:pPr>
              <w:spacing w:after="0" w:line="360" w:lineRule="auto"/>
              <w:jc w:val="center"/>
              <w:rPr>
                <w:rFonts w:ascii="gobCL" w:eastAsia="Times New Roman" w:hAnsi="gobCL" w:cs="Calibri"/>
                <w:color w:val="000000"/>
                <w:lang w:val="es-ES" w:eastAsia="es-CL"/>
              </w:rPr>
            </w:pPr>
            <w:r w:rsidRPr="00D925EB">
              <w:t>3</w:t>
            </w:r>
          </w:p>
        </w:tc>
        <w:tc>
          <w:tcPr>
            <w:tcW w:w="442" w:type="pct"/>
            <w:shd w:val="clear" w:color="auto" w:fill="FFFFFF"/>
            <w:noWrap/>
          </w:tcPr>
          <w:p w14:paraId="2CF2C339" w14:textId="6E928E5B" w:rsidR="009058B7" w:rsidRPr="00D925EB" w:rsidRDefault="009058B7">
            <w:pPr>
              <w:spacing w:after="0" w:line="360" w:lineRule="auto"/>
              <w:jc w:val="center"/>
              <w:rPr>
                <w:rFonts w:ascii="gobCL" w:eastAsia="Times New Roman" w:hAnsi="gobCL" w:cs="Calibri"/>
                <w:color w:val="000000"/>
                <w:lang w:val="es-ES" w:eastAsia="es-CL"/>
              </w:rPr>
            </w:pPr>
            <w:r w:rsidRPr="00D925EB">
              <w:t>0,3</w:t>
            </w:r>
          </w:p>
        </w:tc>
      </w:tr>
      <w:tr w:rsidR="009058B7" w:rsidRPr="00D925EB" w14:paraId="3623C418" w14:textId="77777777" w:rsidTr="00A950F3">
        <w:trPr>
          <w:trHeight w:val="20"/>
          <w:jc w:val="center"/>
        </w:trPr>
        <w:tc>
          <w:tcPr>
            <w:tcW w:w="1549" w:type="pct"/>
            <w:shd w:val="clear" w:color="auto" w:fill="FFFFFF"/>
            <w:noWrap/>
            <w:vAlign w:val="center"/>
            <w:hideMark/>
          </w:tcPr>
          <w:p w14:paraId="209ED80B"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Aysén</w:t>
            </w:r>
          </w:p>
        </w:tc>
        <w:tc>
          <w:tcPr>
            <w:tcW w:w="641" w:type="pct"/>
            <w:shd w:val="clear" w:color="auto" w:fill="FFFFFF"/>
            <w:noWrap/>
          </w:tcPr>
          <w:p w14:paraId="08D2D4EC" w14:textId="085E8EEB" w:rsidR="009058B7" w:rsidRPr="00D925EB" w:rsidRDefault="009058B7">
            <w:pPr>
              <w:spacing w:after="0" w:line="360" w:lineRule="auto"/>
              <w:jc w:val="center"/>
              <w:rPr>
                <w:rFonts w:ascii="gobCL" w:eastAsia="Times New Roman" w:hAnsi="gobCL" w:cs="Calibri"/>
                <w:color w:val="000000"/>
                <w:lang w:val="es-ES" w:eastAsia="es-CL"/>
              </w:rPr>
            </w:pPr>
            <w:r w:rsidRPr="00D925EB">
              <w:t>2</w:t>
            </w:r>
          </w:p>
        </w:tc>
        <w:tc>
          <w:tcPr>
            <w:tcW w:w="478" w:type="pct"/>
            <w:shd w:val="clear" w:color="auto" w:fill="FFFFFF"/>
            <w:noWrap/>
          </w:tcPr>
          <w:p w14:paraId="1B3F1AAF" w14:textId="35833717" w:rsidR="009058B7" w:rsidRPr="00D925EB" w:rsidRDefault="009058B7">
            <w:pPr>
              <w:spacing w:after="0" w:line="360" w:lineRule="auto"/>
              <w:jc w:val="center"/>
              <w:rPr>
                <w:rFonts w:ascii="gobCL" w:eastAsia="Times New Roman" w:hAnsi="gobCL" w:cs="Calibri"/>
                <w:color w:val="000000"/>
                <w:lang w:val="es-ES" w:eastAsia="es-CL"/>
              </w:rPr>
            </w:pPr>
            <w:r w:rsidRPr="00D925EB">
              <w:t>0,2</w:t>
            </w:r>
          </w:p>
        </w:tc>
        <w:tc>
          <w:tcPr>
            <w:tcW w:w="122" w:type="pct"/>
            <w:shd w:val="clear" w:color="auto" w:fill="FFFFFF"/>
            <w:vAlign w:val="center"/>
          </w:tcPr>
          <w:p w14:paraId="5EEF60D9"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2063444B" w14:textId="6DA05109"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shd w:val="clear" w:color="auto" w:fill="FFFFFF"/>
            <w:noWrap/>
          </w:tcPr>
          <w:p w14:paraId="1B3FB476" w14:textId="7D05A7FE"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shd w:val="clear" w:color="auto" w:fill="FFFFFF"/>
            <w:vAlign w:val="center"/>
          </w:tcPr>
          <w:p w14:paraId="75FAC3B8" w14:textId="77777777" w:rsidR="009058B7" w:rsidRPr="00D925EB" w:rsidRDefault="009058B7">
            <w:pPr>
              <w:spacing w:after="0" w:line="360" w:lineRule="auto"/>
              <w:jc w:val="center"/>
              <w:rPr>
                <w:rFonts w:ascii="gobCL" w:hAnsi="gobCL" w:cs="Calibri"/>
                <w:color w:val="000000"/>
                <w:lang w:val="es-ES"/>
              </w:rPr>
            </w:pPr>
          </w:p>
        </w:tc>
        <w:tc>
          <w:tcPr>
            <w:tcW w:w="595" w:type="pct"/>
            <w:shd w:val="clear" w:color="auto" w:fill="FFFFFF"/>
            <w:noWrap/>
          </w:tcPr>
          <w:p w14:paraId="3033542B" w14:textId="4F8905F1" w:rsidR="009058B7" w:rsidRPr="00D925EB" w:rsidRDefault="009058B7">
            <w:pPr>
              <w:spacing w:after="0" w:line="360" w:lineRule="auto"/>
              <w:jc w:val="center"/>
              <w:rPr>
                <w:rFonts w:ascii="gobCL" w:eastAsia="Times New Roman" w:hAnsi="gobCL" w:cs="Calibri"/>
                <w:color w:val="000000"/>
                <w:lang w:val="es-ES" w:eastAsia="es-CL"/>
              </w:rPr>
            </w:pPr>
            <w:r w:rsidRPr="00D925EB">
              <w:t>2</w:t>
            </w:r>
          </w:p>
        </w:tc>
        <w:tc>
          <w:tcPr>
            <w:tcW w:w="442" w:type="pct"/>
            <w:shd w:val="clear" w:color="auto" w:fill="FFFFFF"/>
            <w:noWrap/>
          </w:tcPr>
          <w:p w14:paraId="3C30C5DF" w14:textId="076C196C" w:rsidR="009058B7" w:rsidRPr="00D925EB" w:rsidRDefault="009058B7">
            <w:pPr>
              <w:spacing w:after="0" w:line="360" w:lineRule="auto"/>
              <w:jc w:val="center"/>
              <w:rPr>
                <w:rFonts w:ascii="gobCL" w:eastAsia="Times New Roman" w:hAnsi="gobCL" w:cs="Calibri"/>
                <w:color w:val="000000"/>
                <w:lang w:val="es-ES" w:eastAsia="es-CL"/>
              </w:rPr>
            </w:pPr>
            <w:r w:rsidRPr="00D925EB">
              <w:t>0,2</w:t>
            </w:r>
          </w:p>
        </w:tc>
      </w:tr>
      <w:tr w:rsidR="009058B7" w:rsidRPr="00D925EB" w14:paraId="0880F2B0" w14:textId="77777777" w:rsidTr="00A950F3">
        <w:trPr>
          <w:trHeight w:val="20"/>
          <w:jc w:val="center"/>
        </w:trPr>
        <w:tc>
          <w:tcPr>
            <w:tcW w:w="1549" w:type="pct"/>
            <w:tcBorders>
              <w:top w:val="nil"/>
              <w:left w:val="nil"/>
              <w:bottom w:val="single" w:sz="4" w:space="0" w:color="auto"/>
              <w:right w:val="nil"/>
            </w:tcBorders>
            <w:shd w:val="clear" w:color="auto" w:fill="FFFFFF"/>
            <w:noWrap/>
            <w:vAlign w:val="center"/>
            <w:hideMark/>
          </w:tcPr>
          <w:p w14:paraId="15269C85" w14:textId="77777777" w:rsidR="009058B7" w:rsidRPr="00D925EB" w:rsidRDefault="009058B7">
            <w:pPr>
              <w:spacing w:after="0" w:line="360" w:lineRule="auto"/>
              <w:rPr>
                <w:rFonts w:ascii="gobCL" w:eastAsia="Times New Roman" w:hAnsi="gobCL" w:cs="Calibri"/>
                <w:color w:val="000000"/>
                <w:lang w:val="es-ES" w:eastAsia="es-CL"/>
              </w:rPr>
            </w:pPr>
            <w:r w:rsidRPr="00D925EB">
              <w:rPr>
                <w:rFonts w:ascii="gobCL" w:eastAsia="Times New Roman" w:hAnsi="gobCL" w:cs="Calibri"/>
                <w:color w:val="000000"/>
                <w:lang w:val="es-ES" w:eastAsia="es-CL"/>
              </w:rPr>
              <w:t>Magallanes</w:t>
            </w:r>
          </w:p>
        </w:tc>
        <w:tc>
          <w:tcPr>
            <w:tcW w:w="641" w:type="pct"/>
            <w:tcBorders>
              <w:top w:val="nil"/>
              <w:left w:val="nil"/>
              <w:bottom w:val="single" w:sz="4" w:space="0" w:color="auto"/>
              <w:right w:val="nil"/>
            </w:tcBorders>
            <w:shd w:val="clear" w:color="auto" w:fill="FFFFFF"/>
            <w:noWrap/>
          </w:tcPr>
          <w:p w14:paraId="054F5EF4" w14:textId="2E9D7CBA"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78" w:type="pct"/>
            <w:tcBorders>
              <w:top w:val="nil"/>
              <w:left w:val="nil"/>
              <w:bottom w:val="single" w:sz="4" w:space="0" w:color="auto"/>
              <w:right w:val="nil"/>
            </w:tcBorders>
            <w:shd w:val="clear" w:color="auto" w:fill="FFFFFF"/>
            <w:noWrap/>
          </w:tcPr>
          <w:p w14:paraId="50FA78CD" w14:textId="05E54D27"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22" w:type="pct"/>
            <w:tcBorders>
              <w:top w:val="nil"/>
              <w:left w:val="nil"/>
              <w:bottom w:val="single" w:sz="4" w:space="0" w:color="auto"/>
              <w:right w:val="nil"/>
            </w:tcBorders>
            <w:shd w:val="clear" w:color="auto" w:fill="FFFFFF"/>
            <w:vAlign w:val="center"/>
          </w:tcPr>
          <w:p w14:paraId="33F93939" w14:textId="77777777" w:rsidR="009058B7" w:rsidRPr="00D925EB" w:rsidRDefault="009058B7">
            <w:pPr>
              <w:spacing w:after="0" w:line="360" w:lineRule="auto"/>
              <w:jc w:val="center"/>
              <w:rPr>
                <w:rFonts w:ascii="gobCL" w:hAnsi="gobCL" w:cs="Calibri"/>
                <w:color w:val="000000"/>
                <w:lang w:val="es-ES"/>
              </w:rPr>
            </w:pPr>
          </w:p>
        </w:tc>
        <w:tc>
          <w:tcPr>
            <w:tcW w:w="595" w:type="pct"/>
            <w:tcBorders>
              <w:top w:val="nil"/>
              <w:left w:val="nil"/>
              <w:bottom w:val="single" w:sz="4" w:space="0" w:color="auto"/>
              <w:right w:val="nil"/>
            </w:tcBorders>
            <w:shd w:val="clear" w:color="auto" w:fill="FFFFFF"/>
            <w:noWrap/>
          </w:tcPr>
          <w:p w14:paraId="7B1516FF" w14:textId="3A51CB1E"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4" w:type="pct"/>
            <w:tcBorders>
              <w:top w:val="nil"/>
              <w:left w:val="nil"/>
              <w:bottom w:val="single" w:sz="4" w:space="0" w:color="auto"/>
              <w:right w:val="nil"/>
            </w:tcBorders>
            <w:shd w:val="clear" w:color="auto" w:fill="FFFFFF"/>
            <w:noWrap/>
          </w:tcPr>
          <w:p w14:paraId="732025ED" w14:textId="5D0AC357"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c>
          <w:tcPr>
            <w:tcW w:w="134" w:type="pct"/>
            <w:tcBorders>
              <w:top w:val="nil"/>
              <w:left w:val="nil"/>
              <w:bottom w:val="single" w:sz="4" w:space="0" w:color="auto"/>
              <w:right w:val="nil"/>
            </w:tcBorders>
            <w:shd w:val="clear" w:color="auto" w:fill="FFFFFF"/>
            <w:vAlign w:val="center"/>
          </w:tcPr>
          <w:p w14:paraId="335BE784" w14:textId="77777777" w:rsidR="009058B7" w:rsidRPr="00D925EB" w:rsidRDefault="009058B7">
            <w:pPr>
              <w:spacing w:after="0" w:line="360" w:lineRule="auto"/>
              <w:jc w:val="center"/>
              <w:rPr>
                <w:rFonts w:ascii="gobCL" w:hAnsi="gobCL" w:cs="Calibri"/>
                <w:color w:val="000000"/>
                <w:lang w:val="es-ES"/>
              </w:rPr>
            </w:pPr>
          </w:p>
        </w:tc>
        <w:tc>
          <w:tcPr>
            <w:tcW w:w="595" w:type="pct"/>
            <w:tcBorders>
              <w:top w:val="nil"/>
              <w:left w:val="nil"/>
              <w:bottom w:val="single" w:sz="4" w:space="0" w:color="auto"/>
              <w:right w:val="nil"/>
            </w:tcBorders>
            <w:shd w:val="clear" w:color="auto" w:fill="FFFFFF"/>
            <w:noWrap/>
          </w:tcPr>
          <w:p w14:paraId="67CD7483" w14:textId="56B5C338" w:rsidR="009058B7" w:rsidRPr="00D925EB" w:rsidRDefault="009058B7">
            <w:pPr>
              <w:spacing w:after="0" w:line="360" w:lineRule="auto"/>
              <w:jc w:val="center"/>
              <w:rPr>
                <w:rFonts w:ascii="gobCL" w:eastAsia="Times New Roman" w:hAnsi="gobCL" w:cs="Calibri"/>
                <w:color w:val="000000"/>
                <w:lang w:val="es-ES" w:eastAsia="es-CL"/>
              </w:rPr>
            </w:pPr>
            <w:r w:rsidRPr="00D925EB">
              <w:t>0</w:t>
            </w:r>
          </w:p>
        </w:tc>
        <w:tc>
          <w:tcPr>
            <w:tcW w:w="442" w:type="pct"/>
            <w:tcBorders>
              <w:top w:val="nil"/>
              <w:left w:val="nil"/>
              <w:bottom w:val="single" w:sz="4" w:space="0" w:color="auto"/>
              <w:right w:val="nil"/>
            </w:tcBorders>
            <w:shd w:val="clear" w:color="auto" w:fill="FFFFFF"/>
            <w:noWrap/>
          </w:tcPr>
          <w:p w14:paraId="4FFBC352" w14:textId="5917E820" w:rsidR="009058B7" w:rsidRPr="00D925EB" w:rsidRDefault="009058B7">
            <w:pPr>
              <w:spacing w:after="0" w:line="360" w:lineRule="auto"/>
              <w:jc w:val="center"/>
              <w:rPr>
                <w:rFonts w:ascii="gobCL" w:eastAsia="Times New Roman" w:hAnsi="gobCL" w:cs="Calibri"/>
                <w:color w:val="000000"/>
                <w:lang w:val="es-ES" w:eastAsia="es-CL"/>
              </w:rPr>
            </w:pPr>
            <w:r w:rsidRPr="00D925EB">
              <w:t>0,0</w:t>
            </w:r>
          </w:p>
        </w:tc>
      </w:tr>
      <w:tr w:rsidR="009058B7" w:rsidRPr="00D925EB" w14:paraId="72C60F38" w14:textId="77777777" w:rsidTr="00A950F3">
        <w:trPr>
          <w:trHeight w:val="20"/>
          <w:jc w:val="center"/>
        </w:trPr>
        <w:tc>
          <w:tcPr>
            <w:tcW w:w="1549" w:type="pct"/>
            <w:tcBorders>
              <w:top w:val="single" w:sz="4" w:space="0" w:color="auto"/>
              <w:left w:val="nil"/>
              <w:bottom w:val="single" w:sz="4" w:space="0" w:color="auto"/>
              <w:right w:val="nil"/>
            </w:tcBorders>
            <w:shd w:val="clear" w:color="auto" w:fill="FFFFFF"/>
            <w:noWrap/>
            <w:vAlign w:val="center"/>
            <w:hideMark/>
          </w:tcPr>
          <w:p w14:paraId="55EB11DE" w14:textId="77777777" w:rsidR="009058B7" w:rsidRPr="00D925EB" w:rsidRDefault="009058B7">
            <w:pPr>
              <w:spacing w:after="0" w:line="360" w:lineRule="auto"/>
              <w:rPr>
                <w:rFonts w:ascii="gobCL" w:eastAsia="Times New Roman" w:hAnsi="gobCL" w:cs="Calibri"/>
                <w:b/>
                <w:bCs/>
                <w:color w:val="000000"/>
                <w:lang w:val="es-ES" w:eastAsia="es-CL"/>
              </w:rPr>
            </w:pPr>
            <w:r w:rsidRPr="00D925EB">
              <w:rPr>
                <w:rFonts w:ascii="gobCL" w:eastAsia="Times New Roman" w:hAnsi="gobCL" w:cs="Calibri"/>
                <w:b/>
                <w:bCs/>
                <w:color w:val="000000"/>
                <w:lang w:val="es-ES" w:eastAsia="es-CL"/>
              </w:rPr>
              <w:t>Total</w:t>
            </w:r>
          </w:p>
        </w:tc>
        <w:tc>
          <w:tcPr>
            <w:tcW w:w="641" w:type="pct"/>
            <w:tcBorders>
              <w:top w:val="single" w:sz="4" w:space="0" w:color="auto"/>
              <w:left w:val="nil"/>
              <w:bottom w:val="single" w:sz="4" w:space="0" w:color="auto"/>
              <w:right w:val="nil"/>
            </w:tcBorders>
            <w:shd w:val="clear" w:color="auto" w:fill="FFFFFF"/>
            <w:noWrap/>
          </w:tcPr>
          <w:p w14:paraId="361959E0" w14:textId="6AC6BD9D" w:rsidR="009058B7" w:rsidRPr="00D925EB" w:rsidRDefault="009058B7">
            <w:pPr>
              <w:spacing w:after="0" w:line="360" w:lineRule="auto"/>
              <w:jc w:val="center"/>
              <w:rPr>
                <w:rFonts w:ascii="gobCL" w:eastAsia="Times New Roman" w:hAnsi="gobCL" w:cs="Calibri"/>
                <w:b/>
                <w:bCs/>
                <w:color w:val="000000"/>
                <w:lang w:val="es-ES" w:eastAsia="es-CL"/>
              </w:rPr>
            </w:pPr>
            <w:r w:rsidRPr="00D925EB">
              <w:t>1078</w:t>
            </w:r>
          </w:p>
        </w:tc>
        <w:tc>
          <w:tcPr>
            <w:tcW w:w="478" w:type="pct"/>
            <w:tcBorders>
              <w:top w:val="single" w:sz="4" w:space="0" w:color="auto"/>
              <w:left w:val="nil"/>
              <w:bottom w:val="single" w:sz="4" w:space="0" w:color="auto"/>
              <w:right w:val="nil"/>
            </w:tcBorders>
            <w:shd w:val="clear" w:color="auto" w:fill="FFFFFF"/>
            <w:noWrap/>
          </w:tcPr>
          <w:p w14:paraId="0599B341" w14:textId="48CD7296" w:rsidR="009058B7" w:rsidRPr="00D925EB" w:rsidRDefault="009058B7">
            <w:pPr>
              <w:spacing w:after="0" w:line="360" w:lineRule="auto"/>
              <w:jc w:val="center"/>
              <w:rPr>
                <w:rFonts w:ascii="gobCL" w:eastAsia="Times New Roman" w:hAnsi="gobCL" w:cs="Calibri"/>
                <w:b/>
                <w:bCs/>
                <w:color w:val="000000"/>
                <w:lang w:val="es-ES" w:eastAsia="es-CL"/>
              </w:rPr>
            </w:pPr>
            <w:r w:rsidRPr="00D925EB">
              <w:t>98,6</w:t>
            </w:r>
          </w:p>
        </w:tc>
        <w:tc>
          <w:tcPr>
            <w:tcW w:w="122" w:type="pct"/>
            <w:tcBorders>
              <w:top w:val="single" w:sz="4" w:space="0" w:color="auto"/>
              <w:left w:val="nil"/>
              <w:bottom w:val="single" w:sz="4" w:space="0" w:color="auto"/>
              <w:right w:val="nil"/>
            </w:tcBorders>
            <w:shd w:val="clear" w:color="auto" w:fill="FFFFFF"/>
            <w:vAlign w:val="center"/>
          </w:tcPr>
          <w:p w14:paraId="747E8606" w14:textId="77777777" w:rsidR="009058B7" w:rsidRPr="00D925EB" w:rsidRDefault="009058B7">
            <w:pPr>
              <w:spacing w:after="0" w:line="360" w:lineRule="auto"/>
              <w:jc w:val="center"/>
              <w:rPr>
                <w:rFonts w:ascii="gobCL" w:hAnsi="gobCL" w:cs="Calibri"/>
                <w:b/>
                <w:bCs/>
                <w:color w:val="000000"/>
                <w:lang w:val="es-ES"/>
              </w:rPr>
            </w:pPr>
          </w:p>
        </w:tc>
        <w:tc>
          <w:tcPr>
            <w:tcW w:w="595" w:type="pct"/>
            <w:tcBorders>
              <w:top w:val="single" w:sz="4" w:space="0" w:color="auto"/>
              <w:left w:val="nil"/>
              <w:bottom w:val="single" w:sz="4" w:space="0" w:color="auto"/>
              <w:right w:val="nil"/>
            </w:tcBorders>
            <w:shd w:val="clear" w:color="auto" w:fill="FFFFFF"/>
            <w:noWrap/>
          </w:tcPr>
          <w:p w14:paraId="34E883F9" w14:textId="6EEA19AF" w:rsidR="009058B7" w:rsidRPr="00D925EB" w:rsidRDefault="009058B7">
            <w:pPr>
              <w:spacing w:after="0" w:line="360" w:lineRule="auto"/>
              <w:jc w:val="center"/>
              <w:rPr>
                <w:rFonts w:ascii="gobCL" w:eastAsia="Times New Roman" w:hAnsi="gobCL" w:cs="Calibri"/>
                <w:b/>
                <w:bCs/>
                <w:color w:val="000000"/>
                <w:lang w:val="es-ES" w:eastAsia="es-CL"/>
              </w:rPr>
            </w:pPr>
            <w:r w:rsidRPr="00D925EB">
              <w:t>15</w:t>
            </w:r>
          </w:p>
        </w:tc>
        <w:tc>
          <w:tcPr>
            <w:tcW w:w="444" w:type="pct"/>
            <w:tcBorders>
              <w:top w:val="single" w:sz="4" w:space="0" w:color="auto"/>
              <w:left w:val="nil"/>
              <w:bottom w:val="single" w:sz="4" w:space="0" w:color="auto"/>
              <w:right w:val="nil"/>
            </w:tcBorders>
            <w:shd w:val="clear" w:color="auto" w:fill="FFFFFF"/>
            <w:noWrap/>
          </w:tcPr>
          <w:p w14:paraId="571BC198" w14:textId="00F4DB6B" w:rsidR="009058B7" w:rsidRPr="00D925EB" w:rsidRDefault="009058B7">
            <w:pPr>
              <w:spacing w:after="0" w:line="360" w:lineRule="auto"/>
              <w:jc w:val="center"/>
              <w:rPr>
                <w:rFonts w:ascii="gobCL" w:eastAsia="Times New Roman" w:hAnsi="gobCL" w:cs="Calibri"/>
                <w:b/>
                <w:bCs/>
                <w:color w:val="000000"/>
                <w:lang w:val="es-ES" w:eastAsia="es-CL"/>
              </w:rPr>
            </w:pPr>
            <w:r w:rsidRPr="00D925EB">
              <w:t>1,4</w:t>
            </w:r>
          </w:p>
        </w:tc>
        <w:tc>
          <w:tcPr>
            <w:tcW w:w="134" w:type="pct"/>
            <w:tcBorders>
              <w:top w:val="single" w:sz="4" w:space="0" w:color="auto"/>
              <w:left w:val="nil"/>
              <w:bottom w:val="single" w:sz="4" w:space="0" w:color="auto"/>
              <w:right w:val="nil"/>
            </w:tcBorders>
            <w:shd w:val="clear" w:color="auto" w:fill="FFFFFF"/>
            <w:vAlign w:val="center"/>
          </w:tcPr>
          <w:p w14:paraId="5EDED1C3" w14:textId="77777777" w:rsidR="009058B7" w:rsidRPr="00D925EB" w:rsidRDefault="009058B7">
            <w:pPr>
              <w:spacing w:after="0" w:line="360" w:lineRule="auto"/>
              <w:jc w:val="center"/>
              <w:rPr>
                <w:rFonts w:ascii="gobCL" w:hAnsi="gobCL" w:cs="Calibri"/>
                <w:b/>
                <w:bCs/>
                <w:color w:val="000000"/>
                <w:lang w:val="es-ES"/>
              </w:rPr>
            </w:pPr>
          </w:p>
        </w:tc>
        <w:tc>
          <w:tcPr>
            <w:tcW w:w="595" w:type="pct"/>
            <w:tcBorders>
              <w:top w:val="single" w:sz="4" w:space="0" w:color="auto"/>
              <w:left w:val="nil"/>
              <w:bottom w:val="single" w:sz="4" w:space="0" w:color="auto"/>
              <w:right w:val="nil"/>
            </w:tcBorders>
            <w:shd w:val="clear" w:color="auto" w:fill="FFFFFF"/>
            <w:noWrap/>
          </w:tcPr>
          <w:p w14:paraId="2522151C" w14:textId="160F1EED" w:rsidR="009058B7" w:rsidRPr="00D925EB" w:rsidRDefault="009058B7">
            <w:pPr>
              <w:spacing w:after="0" w:line="360" w:lineRule="auto"/>
              <w:jc w:val="center"/>
              <w:rPr>
                <w:rFonts w:ascii="gobCL" w:eastAsia="Times New Roman" w:hAnsi="gobCL" w:cs="Calibri"/>
                <w:b/>
                <w:bCs/>
                <w:color w:val="000000"/>
                <w:lang w:val="es-ES" w:eastAsia="es-CL"/>
              </w:rPr>
            </w:pPr>
            <w:r w:rsidRPr="00D925EB">
              <w:t>1093</w:t>
            </w:r>
          </w:p>
        </w:tc>
        <w:tc>
          <w:tcPr>
            <w:tcW w:w="442" w:type="pct"/>
            <w:tcBorders>
              <w:top w:val="single" w:sz="4" w:space="0" w:color="auto"/>
              <w:left w:val="nil"/>
              <w:bottom w:val="single" w:sz="4" w:space="0" w:color="auto"/>
              <w:right w:val="nil"/>
            </w:tcBorders>
            <w:shd w:val="clear" w:color="auto" w:fill="FFFFFF"/>
            <w:noWrap/>
          </w:tcPr>
          <w:p w14:paraId="2790A2E6" w14:textId="0530EDB1" w:rsidR="009058B7" w:rsidRPr="00D925EB" w:rsidRDefault="009058B7">
            <w:pPr>
              <w:spacing w:after="0" w:line="360" w:lineRule="auto"/>
              <w:jc w:val="center"/>
              <w:rPr>
                <w:rFonts w:ascii="gobCL" w:eastAsia="Times New Roman" w:hAnsi="gobCL" w:cs="Calibri"/>
                <w:b/>
                <w:bCs/>
                <w:color w:val="000000"/>
                <w:lang w:val="es-ES" w:eastAsia="es-CL"/>
              </w:rPr>
            </w:pPr>
            <w:r w:rsidRPr="00D925EB">
              <w:t>100,0</w:t>
            </w:r>
          </w:p>
        </w:tc>
      </w:tr>
    </w:tbl>
    <w:p w14:paraId="324D800F" w14:textId="6FA6CEA5" w:rsidR="00717EFC" w:rsidRPr="00D925EB" w:rsidRDefault="00294607" w:rsidP="00294607">
      <w:pPr>
        <w:tabs>
          <w:tab w:val="left" w:pos="7555"/>
        </w:tabs>
        <w:spacing w:after="0" w:line="360" w:lineRule="auto"/>
        <w:rPr>
          <w:rFonts w:ascii="gobCL" w:hAnsi="gobCL"/>
          <w:b/>
          <w:bCs/>
        </w:rPr>
      </w:pPr>
      <w:r w:rsidRPr="00D925EB">
        <w:rPr>
          <w:rFonts w:ascii="gobCL" w:hAnsi="gobCL"/>
          <w:b/>
          <w:bCs/>
        </w:rPr>
        <w:tab/>
      </w:r>
    </w:p>
    <w:p w14:paraId="62367E50" w14:textId="1CF68CBB" w:rsidR="00717EFC" w:rsidRPr="00D925EB" w:rsidRDefault="00717EFC" w:rsidP="001A2D26">
      <w:pPr>
        <w:spacing w:after="0"/>
        <w:rPr>
          <w:rFonts w:ascii="gobCL" w:hAnsi="gobCL"/>
          <w:sz w:val="18"/>
          <w:szCs w:val="18"/>
        </w:rPr>
      </w:pPr>
      <w:r w:rsidRPr="00D925EB">
        <w:rPr>
          <w:rFonts w:ascii="gobCL" w:hAnsi="gobCL"/>
          <w:sz w:val="18"/>
          <w:szCs w:val="18"/>
        </w:rPr>
        <w:t>Fuente</w:t>
      </w:r>
      <w:r w:rsidR="001A2D26" w:rsidRPr="00D925EB">
        <w:rPr>
          <w:rFonts w:ascii="gobCL" w:hAnsi="gobCL"/>
          <w:sz w:val="18"/>
          <w:szCs w:val="18"/>
        </w:rPr>
        <w:t>:</w:t>
      </w:r>
      <w:r w:rsidRPr="00D925EB">
        <w:rPr>
          <w:rFonts w:ascii="gobCL" w:hAnsi="gobCL"/>
          <w:sz w:val="18"/>
          <w:szCs w:val="18"/>
        </w:rPr>
        <w:t xml:space="preserve"> Departamento de Epidemiología. Ministerio de Salud de Chile.</w:t>
      </w:r>
    </w:p>
    <w:p w14:paraId="5F98AC1C" w14:textId="3981ADB0" w:rsidR="00717EFC" w:rsidRPr="003241A2" w:rsidRDefault="00717EFC" w:rsidP="001A2D26">
      <w:pPr>
        <w:spacing w:after="0"/>
        <w:rPr>
          <w:rFonts w:ascii="gobCL" w:hAnsi="gobCL"/>
          <w:sz w:val="18"/>
          <w:szCs w:val="18"/>
        </w:rPr>
      </w:pPr>
      <w:r w:rsidRPr="00D925EB">
        <w:rPr>
          <w:rFonts w:ascii="gobCL" w:hAnsi="gobCL"/>
          <w:sz w:val="18"/>
          <w:szCs w:val="18"/>
        </w:rPr>
        <w:t>Datos provisorios en proceso de validación</w:t>
      </w:r>
      <w:r w:rsidR="001A2D26" w:rsidRPr="00D925EB">
        <w:rPr>
          <w:rFonts w:ascii="gobCL" w:hAnsi="gobCL"/>
          <w:sz w:val="18"/>
          <w:szCs w:val="18"/>
        </w:rPr>
        <w:t>.</w:t>
      </w:r>
    </w:p>
    <w:p w14:paraId="286192AA" w14:textId="77777777" w:rsidR="00717EFC" w:rsidRPr="003241A2" w:rsidRDefault="00717EFC" w:rsidP="00D82D44">
      <w:pPr>
        <w:spacing w:after="0" w:line="360" w:lineRule="auto"/>
        <w:jc w:val="both"/>
        <w:rPr>
          <w:rFonts w:ascii="gobCL" w:hAnsi="gobCL"/>
          <w:b/>
          <w:bCs/>
        </w:rPr>
      </w:pPr>
    </w:p>
    <w:p w14:paraId="3BC8BCBC" w14:textId="77777777" w:rsidR="003576C0" w:rsidRPr="003241A2" w:rsidRDefault="003576C0" w:rsidP="00D82D44">
      <w:pPr>
        <w:spacing w:after="0" w:line="360" w:lineRule="auto"/>
        <w:rPr>
          <w:rFonts w:ascii="gobCL" w:hAnsi="gobCL"/>
          <w:b/>
          <w:bCs/>
        </w:rPr>
      </w:pPr>
      <w:r w:rsidRPr="003241A2">
        <w:rPr>
          <w:rFonts w:ascii="gobCL" w:hAnsi="gobCL"/>
          <w:b/>
          <w:bCs/>
        </w:rPr>
        <w:br w:type="page"/>
      </w:r>
    </w:p>
    <w:p w14:paraId="517D7F35" w14:textId="2C7D20F7" w:rsidR="00705025" w:rsidRDefault="00717EFC" w:rsidP="008E166D">
      <w:pPr>
        <w:spacing w:after="0" w:line="360" w:lineRule="auto"/>
        <w:jc w:val="center"/>
        <w:rPr>
          <w:rFonts w:ascii="gobCL" w:hAnsi="gobCL"/>
          <w:b/>
          <w:bCs/>
          <w:sz w:val="24"/>
          <w:szCs w:val="24"/>
        </w:rPr>
      </w:pPr>
      <w:r w:rsidRPr="00D925EB">
        <w:rPr>
          <w:rFonts w:ascii="gobCL" w:hAnsi="gobCL"/>
          <w:b/>
          <w:bCs/>
          <w:sz w:val="24"/>
          <w:szCs w:val="24"/>
        </w:rPr>
        <w:lastRenderedPageBreak/>
        <w:t xml:space="preserve">Figura 2: Casos de viruela del mono según región de residencia. Chile al </w:t>
      </w:r>
      <w:r w:rsidR="00C6754A" w:rsidRPr="00D925EB">
        <w:rPr>
          <w:rFonts w:ascii="gobCL" w:hAnsi="gobCL"/>
          <w:b/>
          <w:bCs/>
          <w:sz w:val="24"/>
          <w:szCs w:val="24"/>
        </w:rPr>
        <w:t>13</w:t>
      </w:r>
      <w:r w:rsidR="00A36687" w:rsidRPr="00D925EB">
        <w:rPr>
          <w:rFonts w:ascii="gobCL" w:hAnsi="gobCL"/>
          <w:b/>
          <w:bCs/>
          <w:sz w:val="24"/>
          <w:szCs w:val="24"/>
        </w:rPr>
        <w:t xml:space="preserve"> de octubre</w:t>
      </w:r>
      <w:r w:rsidR="0061179E" w:rsidRPr="00D925EB">
        <w:rPr>
          <w:rFonts w:ascii="gobCL" w:hAnsi="gobCL"/>
          <w:b/>
          <w:bCs/>
          <w:sz w:val="24"/>
          <w:szCs w:val="24"/>
        </w:rPr>
        <w:t xml:space="preserve"> </w:t>
      </w:r>
      <w:r w:rsidRPr="00D925EB">
        <w:rPr>
          <w:rFonts w:ascii="gobCL" w:hAnsi="gobCL"/>
          <w:b/>
          <w:bCs/>
          <w:sz w:val="24"/>
          <w:szCs w:val="24"/>
        </w:rPr>
        <w:t xml:space="preserve">de 2022 y región Metropolitana según comuna de residencia al </w:t>
      </w:r>
      <w:r w:rsidR="00C6754A" w:rsidRPr="00D925EB">
        <w:rPr>
          <w:rFonts w:ascii="gobCL" w:hAnsi="gobCL"/>
          <w:b/>
          <w:bCs/>
          <w:sz w:val="24"/>
          <w:szCs w:val="24"/>
        </w:rPr>
        <w:t>13</w:t>
      </w:r>
      <w:r w:rsidR="00A36687" w:rsidRPr="00D925EB">
        <w:rPr>
          <w:rFonts w:ascii="gobCL" w:hAnsi="gobCL"/>
          <w:b/>
          <w:bCs/>
          <w:sz w:val="24"/>
          <w:szCs w:val="24"/>
        </w:rPr>
        <w:t xml:space="preserve"> de octubre</w:t>
      </w:r>
      <w:r w:rsidR="0061179E" w:rsidRPr="00D925EB">
        <w:rPr>
          <w:rFonts w:ascii="gobCL" w:hAnsi="gobCL"/>
          <w:b/>
          <w:bCs/>
          <w:sz w:val="24"/>
          <w:szCs w:val="24"/>
        </w:rPr>
        <w:t xml:space="preserve"> </w:t>
      </w:r>
      <w:r w:rsidRPr="00D925EB">
        <w:rPr>
          <w:rFonts w:ascii="gobCL" w:hAnsi="gobCL"/>
          <w:b/>
          <w:bCs/>
          <w:sz w:val="24"/>
          <w:szCs w:val="24"/>
        </w:rPr>
        <w:t>de 2022.</w:t>
      </w:r>
    </w:p>
    <w:p w14:paraId="57665BC7" w14:textId="77777777" w:rsidR="008E166D" w:rsidRPr="008E166D" w:rsidRDefault="008E166D" w:rsidP="008E166D">
      <w:pPr>
        <w:spacing w:after="0" w:line="360" w:lineRule="auto"/>
        <w:jc w:val="center"/>
        <w:rPr>
          <w:rFonts w:ascii="gobCL" w:hAnsi="gobCL"/>
          <w:b/>
          <w:bCs/>
          <w:sz w:val="24"/>
          <w:szCs w:val="24"/>
        </w:rPr>
      </w:pPr>
    </w:p>
    <w:p w14:paraId="64AAEC97" w14:textId="162B08E6" w:rsidR="00C15BE7" w:rsidRPr="003241A2" w:rsidRDefault="00C15BE7" w:rsidP="00197B67">
      <w:pPr>
        <w:tabs>
          <w:tab w:val="left" w:pos="9923"/>
        </w:tabs>
        <w:spacing w:after="0"/>
        <w:rPr>
          <w:rFonts w:ascii="gobCL" w:hAnsi="gobCL"/>
          <w:sz w:val="18"/>
          <w:szCs w:val="18"/>
        </w:rPr>
      </w:pPr>
      <w:r>
        <w:rPr>
          <w:noProof/>
          <w:lang w:eastAsia="es-CL"/>
        </w:rPr>
        <w:drawing>
          <wp:inline distT="0" distB="0" distL="0" distR="0" wp14:anchorId="0C011F66" wp14:editId="2C1E378D">
            <wp:extent cx="6386169" cy="4907769"/>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92254" cy="4912445"/>
                    </a:xfrm>
                    <a:prstGeom prst="rect">
                      <a:avLst/>
                    </a:prstGeom>
                  </pic:spPr>
                </pic:pic>
              </a:graphicData>
            </a:graphic>
          </wp:inline>
        </w:drawing>
      </w:r>
    </w:p>
    <w:p w14:paraId="58D79AE0" w14:textId="78DEA4F2" w:rsidR="00717EFC" w:rsidRPr="00D925EB" w:rsidRDefault="00717EFC" w:rsidP="000C3BB3">
      <w:pPr>
        <w:spacing w:after="0"/>
        <w:jc w:val="both"/>
        <w:rPr>
          <w:rFonts w:ascii="gobCL" w:hAnsi="gobCL"/>
          <w:sz w:val="18"/>
          <w:szCs w:val="18"/>
        </w:rPr>
      </w:pPr>
      <w:r w:rsidRPr="00D925EB">
        <w:rPr>
          <w:rFonts w:ascii="gobCL" w:hAnsi="gobCL"/>
          <w:sz w:val="18"/>
          <w:szCs w:val="18"/>
        </w:rPr>
        <w:t xml:space="preserve">*Casos confirmados y probables según comuna y región de residencia. Existen </w:t>
      </w:r>
      <w:r w:rsidR="00183B71" w:rsidRPr="00D925EB">
        <w:rPr>
          <w:rFonts w:ascii="gobCL" w:hAnsi="gobCL"/>
          <w:sz w:val="18"/>
          <w:szCs w:val="18"/>
        </w:rPr>
        <w:t>6</w:t>
      </w:r>
      <w:r w:rsidR="00C15BE7" w:rsidRPr="00D925EB">
        <w:rPr>
          <w:rFonts w:ascii="gobCL" w:hAnsi="gobCL"/>
          <w:sz w:val="18"/>
          <w:szCs w:val="18"/>
        </w:rPr>
        <w:t>0</w:t>
      </w:r>
      <w:r w:rsidRPr="00D925EB">
        <w:rPr>
          <w:rFonts w:ascii="gobCL" w:hAnsi="gobCL"/>
          <w:sz w:val="18"/>
          <w:szCs w:val="18"/>
        </w:rPr>
        <w:t xml:space="preserve"> casos en investigación en la RM sin </w:t>
      </w:r>
      <w:r w:rsidR="0039009F" w:rsidRPr="00D925EB">
        <w:rPr>
          <w:rFonts w:ascii="gobCL" w:hAnsi="gobCL"/>
          <w:sz w:val="18"/>
          <w:szCs w:val="18"/>
        </w:rPr>
        <w:t xml:space="preserve">información sobre </w:t>
      </w:r>
      <w:r w:rsidRPr="00D925EB">
        <w:rPr>
          <w:rFonts w:ascii="gobCL" w:hAnsi="gobCL"/>
          <w:sz w:val="18"/>
          <w:szCs w:val="18"/>
        </w:rPr>
        <w:t>comuna de residencia.</w:t>
      </w:r>
    </w:p>
    <w:p w14:paraId="355D3B2B" w14:textId="30BE4EA5" w:rsidR="00717EFC" w:rsidRPr="00D925EB" w:rsidRDefault="00717EFC" w:rsidP="000C3BB3">
      <w:pPr>
        <w:spacing w:after="0"/>
        <w:jc w:val="both"/>
        <w:rPr>
          <w:rFonts w:ascii="gobCL" w:hAnsi="gobCL"/>
          <w:sz w:val="18"/>
          <w:szCs w:val="18"/>
        </w:rPr>
      </w:pPr>
      <w:r w:rsidRPr="00D925EB">
        <w:rPr>
          <w:rFonts w:ascii="gobCL" w:hAnsi="gobCL"/>
          <w:sz w:val="18"/>
          <w:szCs w:val="18"/>
        </w:rPr>
        <w:t>Fuente</w:t>
      </w:r>
      <w:r w:rsidR="001A2D26" w:rsidRPr="00D925EB">
        <w:rPr>
          <w:rFonts w:ascii="gobCL" w:hAnsi="gobCL"/>
          <w:sz w:val="18"/>
          <w:szCs w:val="18"/>
        </w:rPr>
        <w:t>:</w:t>
      </w:r>
      <w:r w:rsidRPr="00D925EB">
        <w:rPr>
          <w:rFonts w:ascii="gobCL" w:hAnsi="gobCL"/>
          <w:sz w:val="18"/>
          <w:szCs w:val="18"/>
        </w:rPr>
        <w:t xml:space="preserve"> Departamento de Epidemiología. Ministerio de Salud de Chile.</w:t>
      </w:r>
    </w:p>
    <w:p w14:paraId="54B3A721" w14:textId="0FDBD122" w:rsidR="00717EFC" w:rsidRPr="003241A2" w:rsidRDefault="00717EFC" w:rsidP="000C3BB3">
      <w:pPr>
        <w:spacing w:after="0"/>
        <w:jc w:val="both"/>
        <w:rPr>
          <w:rFonts w:ascii="gobCL" w:hAnsi="gobCL"/>
          <w:sz w:val="18"/>
          <w:szCs w:val="18"/>
        </w:rPr>
      </w:pPr>
      <w:r w:rsidRPr="00D925EB">
        <w:rPr>
          <w:rFonts w:ascii="gobCL" w:hAnsi="gobCL"/>
          <w:sz w:val="18"/>
          <w:szCs w:val="18"/>
        </w:rPr>
        <w:t>Datos provisorios en proceso de validación</w:t>
      </w:r>
      <w:r w:rsidR="001A2D26" w:rsidRPr="00D925EB">
        <w:rPr>
          <w:rFonts w:ascii="gobCL" w:hAnsi="gobCL"/>
          <w:sz w:val="18"/>
          <w:szCs w:val="18"/>
        </w:rPr>
        <w:t>.</w:t>
      </w:r>
    </w:p>
    <w:p w14:paraId="7D1DF242" w14:textId="340BE2FB" w:rsidR="008E60C5" w:rsidRDefault="008E60C5" w:rsidP="00633475">
      <w:pPr>
        <w:spacing w:after="0" w:line="360" w:lineRule="auto"/>
        <w:jc w:val="both"/>
        <w:rPr>
          <w:rFonts w:ascii="gobCL" w:hAnsi="gobCL"/>
          <w:b/>
          <w:bCs/>
          <w:sz w:val="28"/>
          <w:szCs w:val="28"/>
        </w:rPr>
      </w:pPr>
    </w:p>
    <w:p w14:paraId="1CF8E5B8" w14:textId="77777777" w:rsidR="001413A0" w:rsidRDefault="001413A0" w:rsidP="00633475">
      <w:pPr>
        <w:spacing w:after="0" w:line="360" w:lineRule="auto"/>
        <w:jc w:val="both"/>
        <w:rPr>
          <w:rFonts w:ascii="gobCL" w:hAnsi="gobCL"/>
          <w:b/>
          <w:bCs/>
          <w:sz w:val="28"/>
          <w:szCs w:val="28"/>
        </w:rPr>
      </w:pPr>
    </w:p>
    <w:p w14:paraId="13917560" w14:textId="77777777" w:rsidR="001413A0" w:rsidRDefault="001413A0" w:rsidP="00633475">
      <w:pPr>
        <w:spacing w:after="0" w:line="360" w:lineRule="auto"/>
        <w:jc w:val="both"/>
        <w:rPr>
          <w:rFonts w:ascii="gobCL" w:hAnsi="gobCL"/>
          <w:b/>
          <w:bCs/>
          <w:sz w:val="28"/>
          <w:szCs w:val="28"/>
        </w:rPr>
      </w:pPr>
    </w:p>
    <w:p w14:paraId="4E5099D3" w14:textId="639F6A41" w:rsidR="001413A0" w:rsidRDefault="001413A0" w:rsidP="00633475">
      <w:pPr>
        <w:spacing w:after="0" w:line="360" w:lineRule="auto"/>
        <w:jc w:val="both"/>
        <w:rPr>
          <w:rFonts w:ascii="gobCL" w:hAnsi="gobCL"/>
          <w:b/>
          <w:bCs/>
          <w:sz w:val="28"/>
          <w:szCs w:val="28"/>
        </w:rPr>
      </w:pPr>
    </w:p>
    <w:p w14:paraId="75BC32A0" w14:textId="77777777" w:rsidR="00484527" w:rsidRDefault="00484527" w:rsidP="00633475">
      <w:pPr>
        <w:spacing w:after="0" w:line="360" w:lineRule="auto"/>
        <w:jc w:val="both"/>
        <w:rPr>
          <w:rFonts w:ascii="gobCL" w:hAnsi="gobCL"/>
          <w:b/>
          <w:bCs/>
          <w:sz w:val="28"/>
          <w:szCs w:val="28"/>
        </w:rPr>
      </w:pPr>
    </w:p>
    <w:p w14:paraId="470F7D04" w14:textId="51F18299" w:rsidR="001B225F" w:rsidRPr="004E0925" w:rsidRDefault="00021C5C" w:rsidP="001413A0">
      <w:pPr>
        <w:spacing w:after="0" w:line="360" w:lineRule="auto"/>
        <w:jc w:val="center"/>
        <w:rPr>
          <w:rFonts w:ascii="gobCL" w:hAnsi="gobCL"/>
          <w:b/>
          <w:bCs/>
          <w:sz w:val="24"/>
          <w:szCs w:val="24"/>
        </w:rPr>
      </w:pPr>
      <w:r w:rsidRPr="00D925EB">
        <w:rPr>
          <w:rFonts w:ascii="gobCL" w:hAnsi="gobCL"/>
          <w:b/>
          <w:bCs/>
          <w:sz w:val="24"/>
          <w:szCs w:val="24"/>
        </w:rPr>
        <w:lastRenderedPageBreak/>
        <w:t xml:space="preserve">Figura 3: Casos de viruela del mono en Región de Valparaíso según comuna de residencia al </w:t>
      </w:r>
      <w:r w:rsidR="00CA59D4" w:rsidRPr="00D925EB">
        <w:rPr>
          <w:rFonts w:ascii="gobCL" w:hAnsi="gobCL"/>
          <w:b/>
          <w:bCs/>
          <w:sz w:val="24"/>
          <w:szCs w:val="24"/>
        </w:rPr>
        <w:t>13</w:t>
      </w:r>
      <w:r w:rsidR="00A36687" w:rsidRPr="00D925EB">
        <w:rPr>
          <w:rFonts w:ascii="gobCL" w:hAnsi="gobCL"/>
          <w:b/>
          <w:bCs/>
          <w:sz w:val="24"/>
          <w:szCs w:val="24"/>
        </w:rPr>
        <w:t xml:space="preserve"> de octubre</w:t>
      </w:r>
      <w:r w:rsidRPr="00D925EB">
        <w:rPr>
          <w:rFonts w:ascii="gobCL" w:hAnsi="gobCL"/>
          <w:b/>
          <w:bCs/>
          <w:sz w:val="24"/>
          <w:szCs w:val="24"/>
        </w:rPr>
        <w:t xml:space="preserve"> de 2022.</w:t>
      </w:r>
    </w:p>
    <w:p w14:paraId="33045446" w14:textId="4661FE30" w:rsidR="00484527" w:rsidRPr="002D0D1E" w:rsidRDefault="002D0D1E" w:rsidP="002D0D1E">
      <w:pPr>
        <w:spacing w:after="0" w:line="360" w:lineRule="auto"/>
        <w:jc w:val="center"/>
        <w:rPr>
          <w:rFonts w:ascii="gobCL" w:hAnsi="gobCL"/>
          <w:b/>
          <w:bCs/>
          <w:sz w:val="28"/>
          <w:szCs w:val="28"/>
        </w:rPr>
      </w:pPr>
      <w:r>
        <w:rPr>
          <w:noProof/>
          <w:lang w:eastAsia="es-CL"/>
        </w:rPr>
        <w:drawing>
          <wp:inline distT="0" distB="0" distL="0" distR="0" wp14:anchorId="2BC06119" wp14:editId="542FBC92">
            <wp:extent cx="6364680" cy="486460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68715" cy="4867692"/>
                    </a:xfrm>
                    <a:prstGeom prst="rect">
                      <a:avLst/>
                    </a:prstGeom>
                  </pic:spPr>
                </pic:pic>
              </a:graphicData>
            </a:graphic>
          </wp:inline>
        </w:drawing>
      </w:r>
    </w:p>
    <w:p w14:paraId="26B75C22" w14:textId="370AC3BF" w:rsidR="005A6718" w:rsidRPr="00D925EB" w:rsidRDefault="005A6718" w:rsidP="005A6718">
      <w:pPr>
        <w:spacing w:after="0"/>
        <w:jc w:val="both"/>
        <w:rPr>
          <w:rFonts w:ascii="gobCL" w:hAnsi="gobCL"/>
          <w:sz w:val="18"/>
          <w:szCs w:val="18"/>
        </w:rPr>
      </w:pPr>
      <w:r w:rsidRPr="00D925EB">
        <w:rPr>
          <w:rFonts w:ascii="gobCL" w:hAnsi="gobCL"/>
          <w:sz w:val="18"/>
          <w:szCs w:val="18"/>
        </w:rPr>
        <w:t>*Casos confirmados y probables según comuna y región de residencia. Existen 2 casos en investigación en la Región de Valparaíso sin comuna de residencia.</w:t>
      </w:r>
    </w:p>
    <w:p w14:paraId="63565A98" w14:textId="77777777" w:rsidR="005A6718" w:rsidRPr="00D925EB" w:rsidRDefault="005A6718" w:rsidP="005A6718">
      <w:pPr>
        <w:spacing w:after="0"/>
        <w:jc w:val="both"/>
        <w:rPr>
          <w:rFonts w:ascii="gobCL" w:hAnsi="gobCL"/>
          <w:sz w:val="18"/>
          <w:szCs w:val="18"/>
        </w:rPr>
      </w:pPr>
      <w:r w:rsidRPr="00D925EB">
        <w:rPr>
          <w:rFonts w:ascii="gobCL" w:hAnsi="gobCL"/>
          <w:sz w:val="18"/>
          <w:szCs w:val="18"/>
        </w:rPr>
        <w:t>Fuente: Departamento de Epidemiología. Ministerio de Salud de Chile.</w:t>
      </w:r>
    </w:p>
    <w:p w14:paraId="02DE55AF" w14:textId="77777777" w:rsidR="005A6718" w:rsidRPr="003241A2" w:rsidRDefault="005A6718" w:rsidP="005A6718">
      <w:pPr>
        <w:spacing w:after="0"/>
        <w:jc w:val="both"/>
        <w:rPr>
          <w:rFonts w:ascii="gobCL" w:hAnsi="gobCL"/>
          <w:sz w:val="18"/>
          <w:szCs w:val="18"/>
        </w:rPr>
      </w:pPr>
      <w:r w:rsidRPr="00D925EB">
        <w:rPr>
          <w:rFonts w:ascii="gobCL" w:hAnsi="gobCL"/>
          <w:sz w:val="18"/>
          <w:szCs w:val="18"/>
        </w:rPr>
        <w:t>Datos provisorios en proceso de validación.</w:t>
      </w:r>
    </w:p>
    <w:p w14:paraId="5392B282" w14:textId="77777777" w:rsidR="00484527" w:rsidRDefault="00484527" w:rsidP="00633475">
      <w:pPr>
        <w:spacing w:after="0" w:line="360" w:lineRule="auto"/>
        <w:jc w:val="both"/>
        <w:rPr>
          <w:rFonts w:ascii="gobCL" w:hAnsi="gobCL"/>
          <w:b/>
          <w:bCs/>
          <w:sz w:val="28"/>
          <w:szCs w:val="28"/>
        </w:rPr>
      </w:pPr>
    </w:p>
    <w:p w14:paraId="04F08641" w14:textId="21BD1DFE" w:rsidR="00484527" w:rsidRDefault="00484527" w:rsidP="00633475">
      <w:pPr>
        <w:spacing w:after="0" w:line="360" w:lineRule="auto"/>
        <w:jc w:val="both"/>
        <w:rPr>
          <w:rFonts w:ascii="gobCL" w:hAnsi="gobCL"/>
          <w:b/>
          <w:bCs/>
          <w:sz w:val="28"/>
          <w:szCs w:val="28"/>
        </w:rPr>
      </w:pPr>
    </w:p>
    <w:p w14:paraId="6F344DB8" w14:textId="354E9739" w:rsidR="00484527" w:rsidRDefault="00484527" w:rsidP="00633475">
      <w:pPr>
        <w:spacing w:after="0" w:line="360" w:lineRule="auto"/>
        <w:jc w:val="both"/>
        <w:rPr>
          <w:rFonts w:ascii="gobCL" w:hAnsi="gobCL"/>
          <w:b/>
          <w:bCs/>
          <w:sz w:val="28"/>
          <w:szCs w:val="28"/>
        </w:rPr>
      </w:pPr>
    </w:p>
    <w:p w14:paraId="230C477E" w14:textId="291F61D3" w:rsidR="004E0925" w:rsidRDefault="004E0925" w:rsidP="00633475">
      <w:pPr>
        <w:spacing w:after="0" w:line="360" w:lineRule="auto"/>
        <w:jc w:val="both"/>
        <w:rPr>
          <w:rFonts w:ascii="gobCL" w:hAnsi="gobCL"/>
          <w:b/>
          <w:bCs/>
          <w:sz w:val="28"/>
          <w:szCs w:val="28"/>
        </w:rPr>
      </w:pPr>
    </w:p>
    <w:p w14:paraId="33F8A635" w14:textId="77777777" w:rsidR="004E0925" w:rsidRDefault="004E0925" w:rsidP="00633475">
      <w:pPr>
        <w:spacing w:after="0" w:line="360" w:lineRule="auto"/>
        <w:jc w:val="both"/>
        <w:rPr>
          <w:rFonts w:ascii="gobCL" w:hAnsi="gobCL"/>
          <w:b/>
          <w:bCs/>
          <w:sz w:val="28"/>
          <w:szCs w:val="28"/>
        </w:rPr>
      </w:pPr>
    </w:p>
    <w:p w14:paraId="5F61F047" w14:textId="4B4BADDB" w:rsidR="00484527" w:rsidRDefault="00484527" w:rsidP="00633475">
      <w:pPr>
        <w:spacing w:after="0" w:line="360" w:lineRule="auto"/>
        <w:jc w:val="both"/>
        <w:rPr>
          <w:rFonts w:ascii="gobCL" w:hAnsi="gobCL"/>
          <w:b/>
          <w:bCs/>
          <w:sz w:val="28"/>
          <w:szCs w:val="28"/>
        </w:rPr>
      </w:pPr>
    </w:p>
    <w:p w14:paraId="372D41FA" w14:textId="4A42EFA6" w:rsidR="00717EFC" w:rsidRPr="00D925EB" w:rsidRDefault="00717EFC" w:rsidP="00633475">
      <w:pPr>
        <w:spacing w:after="0" w:line="360" w:lineRule="auto"/>
        <w:jc w:val="both"/>
        <w:rPr>
          <w:rFonts w:ascii="gobCL" w:hAnsi="gobCL"/>
          <w:b/>
          <w:bCs/>
          <w:sz w:val="28"/>
          <w:szCs w:val="28"/>
        </w:rPr>
      </w:pPr>
      <w:r w:rsidRPr="00D925EB">
        <w:rPr>
          <w:rFonts w:ascii="gobCL" w:hAnsi="gobCL"/>
          <w:b/>
          <w:bCs/>
          <w:sz w:val="28"/>
          <w:szCs w:val="28"/>
        </w:rPr>
        <w:lastRenderedPageBreak/>
        <w:t>Caracterización de los casos</w:t>
      </w:r>
    </w:p>
    <w:p w14:paraId="5E48DAC7" w14:textId="77777777" w:rsidR="00717EFC" w:rsidRPr="00D925EB" w:rsidRDefault="00717EFC" w:rsidP="00633475">
      <w:pPr>
        <w:spacing w:after="0" w:line="360" w:lineRule="auto"/>
        <w:jc w:val="both"/>
        <w:rPr>
          <w:rFonts w:ascii="gobCL" w:hAnsi="gobCL"/>
          <w:b/>
          <w:bCs/>
        </w:rPr>
      </w:pPr>
    </w:p>
    <w:p w14:paraId="629C3A09" w14:textId="7560FD78" w:rsidR="00717EFC" w:rsidRPr="00D925EB" w:rsidRDefault="00054C26" w:rsidP="00633475">
      <w:pPr>
        <w:spacing w:after="0" w:line="360" w:lineRule="auto"/>
        <w:jc w:val="both"/>
        <w:rPr>
          <w:rFonts w:ascii="gobCL" w:hAnsi="gobCL"/>
        </w:rPr>
      </w:pPr>
      <w:r w:rsidRPr="00D925EB">
        <w:rPr>
          <w:rFonts w:ascii="gobCL" w:hAnsi="gobCL"/>
        </w:rPr>
        <w:t xml:space="preserve">El rango de edad de los casos fue de </w:t>
      </w:r>
      <w:r w:rsidR="0066575E" w:rsidRPr="00D925EB">
        <w:rPr>
          <w:rFonts w:ascii="gobCL" w:hAnsi="gobCL"/>
        </w:rPr>
        <w:t>6 meses</w:t>
      </w:r>
      <w:r w:rsidR="00717EFC" w:rsidRPr="00D925EB">
        <w:rPr>
          <w:rFonts w:ascii="gobCL" w:hAnsi="gobCL"/>
        </w:rPr>
        <w:t xml:space="preserve"> a los </w:t>
      </w:r>
      <w:r w:rsidR="00C704BE" w:rsidRPr="00D925EB">
        <w:rPr>
          <w:rFonts w:ascii="gobCL" w:hAnsi="gobCL"/>
        </w:rPr>
        <w:t>72</w:t>
      </w:r>
      <w:r w:rsidR="00717EFC" w:rsidRPr="00D925EB">
        <w:rPr>
          <w:rFonts w:ascii="gobCL" w:hAnsi="gobCL"/>
        </w:rPr>
        <w:t xml:space="preserve"> años, con una mediana de 3</w:t>
      </w:r>
      <w:r w:rsidR="0066575E" w:rsidRPr="00D925EB">
        <w:rPr>
          <w:rFonts w:ascii="gobCL" w:hAnsi="gobCL"/>
        </w:rPr>
        <w:t>4</w:t>
      </w:r>
      <w:r w:rsidR="00717EFC" w:rsidRPr="00D925EB">
        <w:rPr>
          <w:rFonts w:ascii="gobCL" w:hAnsi="gobCL"/>
        </w:rPr>
        <w:t xml:space="preserve"> años. El grupo que concentró la mayor cantidad de casos </w:t>
      </w:r>
      <w:r w:rsidRPr="00D925EB">
        <w:rPr>
          <w:rFonts w:ascii="gobCL" w:hAnsi="gobCL"/>
        </w:rPr>
        <w:t>fue</w:t>
      </w:r>
      <w:r w:rsidR="00717EFC" w:rsidRPr="00D925EB">
        <w:rPr>
          <w:rFonts w:ascii="gobCL" w:hAnsi="gobCL"/>
        </w:rPr>
        <w:t xml:space="preserve"> el de entre los 30 y los 39 años (n=</w:t>
      </w:r>
      <w:r w:rsidR="00130016" w:rsidRPr="00D925EB">
        <w:rPr>
          <w:rFonts w:ascii="gobCL" w:hAnsi="gobCL"/>
        </w:rPr>
        <w:t>522</w:t>
      </w:r>
      <w:r w:rsidR="00717EFC" w:rsidRPr="00D925EB">
        <w:rPr>
          <w:rFonts w:ascii="gobCL" w:hAnsi="gobCL"/>
        </w:rPr>
        <w:t>)</w:t>
      </w:r>
      <w:r w:rsidRPr="00D925EB">
        <w:rPr>
          <w:rFonts w:ascii="gobCL" w:hAnsi="gobCL"/>
        </w:rPr>
        <w:t>,</w:t>
      </w:r>
      <w:r w:rsidR="00717EFC" w:rsidRPr="00D925EB">
        <w:rPr>
          <w:rFonts w:ascii="gobCL" w:hAnsi="gobCL"/>
        </w:rPr>
        <w:t xml:space="preserve"> seguido del de 20 a 29 años (n=</w:t>
      </w:r>
      <w:r w:rsidR="00130016" w:rsidRPr="00D925EB">
        <w:rPr>
          <w:rFonts w:ascii="gobCL" w:hAnsi="gobCL"/>
        </w:rPr>
        <w:t>269</w:t>
      </w:r>
      <w:r w:rsidR="00717EFC" w:rsidRPr="00D925EB">
        <w:rPr>
          <w:rFonts w:ascii="gobCL" w:hAnsi="gobCL"/>
        </w:rPr>
        <w:t>)</w:t>
      </w:r>
      <w:r w:rsidR="00A02A42" w:rsidRPr="00D925EB">
        <w:rPr>
          <w:rFonts w:ascii="gobCL" w:hAnsi="gobCL"/>
        </w:rPr>
        <w:t>.</w:t>
      </w:r>
      <w:r w:rsidR="00717EFC" w:rsidRPr="00D925EB">
        <w:rPr>
          <w:rFonts w:ascii="gobCL" w:hAnsi="gobCL"/>
        </w:rPr>
        <w:t xml:space="preserve"> (Figura 3)</w:t>
      </w:r>
      <w:r w:rsidR="00A02A42" w:rsidRPr="00D925EB">
        <w:rPr>
          <w:rFonts w:ascii="gobCL" w:hAnsi="gobCL"/>
        </w:rPr>
        <w:t xml:space="preserve">. </w:t>
      </w:r>
      <w:r w:rsidR="00717EFC" w:rsidRPr="00D925EB">
        <w:rPr>
          <w:rFonts w:ascii="gobCL" w:hAnsi="gobCL"/>
        </w:rPr>
        <w:t>En cuanto a sexo, el 9</w:t>
      </w:r>
      <w:r w:rsidR="00861F1C" w:rsidRPr="00D925EB">
        <w:rPr>
          <w:rFonts w:ascii="gobCL" w:hAnsi="gobCL"/>
        </w:rPr>
        <w:t>7</w:t>
      </w:r>
      <w:r w:rsidR="0018070F" w:rsidRPr="00D925EB">
        <w:rPr>
          <w:rFonts w:ascii="gobCL" w:hAnsi="gobCL"/>
        </w:rPr>
        <w:t>,</w:t>
      </w:r>
      <w:r w:rsidR="00AD6A36" w:rsidRPr="00D925EB">
        <w:rPr>
          <w:rFonts w:ascii="gobCL" w:hAnsi="gobCL"/>
        </w:rPr>
        <w:t>5</w:t>
      </w:r>
      <w:r w:rsidR="00717EFC" w:rsidRPr="00D925EB">
        <w:rPr>
          <w:rFonts w:ascii="gobCL" w:hAnsi="gobCL"/>
        </w:rPr>
        <w:t>%</w:t>
      </w:r>
      <w:r w:rsidR="00A02A42" w:rsidRPr="00D925EB">
        <w:rPr>
          <w:rFonts w:ascii="gobCL" w:hAnsi="gobCL"/>
        </w:rPr>
        <w:t xml:space="preserve"> (n=</w:t>
      </w:r>
      <w:r w:rsidR="00AD6A36" w:rsidRPr="00D925EB">
        <w:rPr>
          <w:rFonts w:ascii="gobCL" w:hAnsi="gobCL"/>
        </w:rPr>
        <w:t>106</w:t>
      </w:r>
      <w:r w:rsidR="00166799" w:rsidRPr="00D925EB">
        <w:rPr>
          <w:rFonts w:ascii="gobCL" w:hAnsi="gobCL"/>
        </w:rPr>
        <w:t>6</w:t>
      </w:r>
      <w:r w:rsidR="00A02A42" w:rsidRPr="00D925EB">
        <w:rPr>
          <w:rFonts w:ascii="gobCL" w:hAnsi="gobCL"/>
        </w:rPr>
        <w:t>)</w:t>
      </w:r>
      <w:r w:rsidR="00717EFC" w:rsidRPr="00D925EB">
        <w:rPr>
          <w:rFonts w:ascii="gobCL" w:hAnsi="gobCL"/>
        </w:rPr>
        <w:t xml:space="preserve"> de los casos correspond</w:t>
      </w:r>
      <w:r w:rsidRPr="00D925EB">
        <w:rPr>
          <w:rFonts w:ascii="gobCL" w:hAnsi="gobCL"/>
        </w:rPr>
        <w:t>ieron</w:t>
      </w:r>
      <w:r w:rsidR="00717EFC" w:rsidRPr="00D925EB">
        <w:rPr>
          <w:rFonts w:ascii="gobCL" w:hAnsi="gobCL"/>
        </w:rPr>
        <w:t xml:space="preserve"> a hombres</w:t>
      </w:r>
      <w:r w:rsidR="00EA0B7C" w:rsidRPr="00D925EB">
        <w:rPr>
          <w:rFonts w:ascii="gobCL" w:hAnsi="gobCL"/>
        </w:rPr>
        <w:t xml:space="preserve"> y el </w:t>
      </w:r>
      <w:r w:rsidR="00AD6A36" w:rsidRPr="00D925EB">
        <w:rPr>
          <w:rFonts w:ascii="gobCL" w:hAnsi="gobCL"/>
        </w:rPr>
        <w:t>1</w:t>
      </w:r>
      <w:r w:rsidR="00EA0B7C" w:rsidRPr="00D925EB">
        <w:rPr>
          <w:rFonts w:ascii="gobCL" w:hAnsi="gobCL"/>
        </w:rPr>
        <w:t>,</w:t>
      </w:r>
      <w:r w:rsidR="00AD6A36" w:rsidRPr="00D925EB">
        <w:rPr>
          <w:rFonts w:ascii="gobCL" w:hAnsi="gobCL"/>
        </w:rPr>
        <w:t>9</w:t>
      </w:r>
      <w:r w:rsidR="00AE5CE2" w:rsidRPr="00D925EB">
        <w:rPr>
          <w:rFonts w:ascii="gobCL" w:hAnsi="gobCL"/>
        </w:rPr>
        <w:t xml:space="preserve"> </w:t>
      </w:r>
      <w:r w:rsidR="00A02A42" w:rsidRPr="00D925EB">
        <w:rPr>
          <w:rFonts w:ascii="gobCL" w:hAnsi="gobCL"/>
        </w:rPr>
        <w:t>% fueron mujeres (n=</w:t>
      </w:r>
      <w:r w:rsidR="00AE5CE2" w:rsidRPr="00D925EB">
        <w:rPr>
          <w:rFonts w:ascii="gobCL" w:hAnsi="gobCL"/>
        </w:rPr>
        <w:t>2</w:t>
      </w:r>
      <w:r w:rsidR="00166799" w:rsidRPr="00D925EB">
        <w:rPr>
          <w:rFonts w:ascii="gobCL" w:hAnsi="gobCL"/>
        </w:rPr>
        <w:t>1</w:t>
      </w:r>
      <w:r w:rsidR="00A02A42" w:rsidRPr="00D925EB">
        <w:rPr>
          <w:rFonts w:ascii="gobCL" w:hAnsi="gobCL"/>
        </w:rPr>
        <w:t>)</w:t>
      </w:r>
      <w:r w:rsidR="00167159" w:rsidRPr="00D925EB">
        <w:rPr>
          <w:rFonts w:ascii="gobCL" w:hAnsi="gobCL"/>
        </w:rPr>
        <w:t>.</w:t>
      </w:r>
      <w:r w:rsidR="00EA0B7C" w:rsidRPr="00D925EB">
        <w:rPr>
          <w:rFonts w:ascii="gobCL" w:hAnsi="gobCL"/>
        </w:rPr>
        <w:t xml:space="preserve"> En </w:t>
      </w:r>
      <w:r w:rsidR="00AD6A36" w:rsidRPr="00D925EB">
        <w:rPr>
          <w:rFonts w:ascii="gobCL" w:hAnsi="gobCL"/>
        </w:rPr>
        <w:t>6</w:t>
      </w:r>
      <w:r w:rsidR="00EA0B7C" w:rsidRPr="00D925EB">
        <w:rPr>
          <w:rFonts w:ascii="gobCL" w:hAnsi="gobCL"/>
        </w:rPr>
        <w:t xml:space="preserve"> casos esta información aún se encuentra en investigación.</w:t>
      </w:r>
    </w:p>
    <w:p w14:paraId="131E36AA" w14:textId="77777777" w:rsidR="00013A94" w:rsidRPr="00D925EB" w:rsidRDefault="00013A94" w:rsidP="00633475">
      <w:pPr>
        <w:spacing w:after="0" w:line="360" w:lineRule="auto"/>
        <w:jc w:val="both"/>
        <w:rPr>
          <w:rFonts w:ascii="gobCL" w:hAnsi="gobCL"/>
        </w:rPr>
      </w:pPr>
    </w:p>
    <w:p w14:paraId="25BBFA11" w14:textId="207D9579" w:rsidR="005C77EA" w:rsidRDefault="00021C5C" w:rsidP="00D20333">
      <w:pPr>
        <w:spacing w:after="0" w:line="360" w:lineRule="auto"/>
        <w:jc w:val="center"/>
        <w:rPr>
          <w:rFonts w:ascii="gobCL" w:hAnsi="gobCL"/>
          <w:b/>
          <w:bCs/>
          <w:sz w:val="24"/>
          <w:szCs w:val="24"/>
        </w:rPr>
      </w:pPr>
      <w:r w:rsidRPr="00D925EB">
        <w:rPr>
          <w:rFonts w:ascii="gobCL" w:hAnsi="gobCL"/>
          <w:b/>
          <w:bCs/>
          <w:sz w:val="24"/>
          <w:szCs w:val="24"/>
        </w:rPr>
        <w:t>Figura 4</w:t>
      </w:r>
      <w:r w:rsidR="00717EFC" w:rsidRPr="00D925EB">
        <w:rPr>
          <w:rFonts w:ascii="gobCL" w:hAnsi="gobCL"/>
          <w:b/>
          <w:bCs/>
          <w:sz w:val="24"/>
          <w:szCs w:val="24"/>
        </w:rPr>
        <w:t xml:space="preserve">: Casos confirmados y probables de viruela del mono </w:t>
      </w:r>
      <w:r w:rsidR="007F202A" w:rsidRPr="00D925EB">
        <w:rPr>
          <w:rFonts w:ascii="gobCL" w:hAnsi="gobCL"/>
          <w:b/>
          <w:bCs/>
          <w:sz w:val="24"/>
          <w:szCs w:val="24"/>
        </w:rPr>
        <w:t xml:space="preserve">según grupo de edad. Chile al </w:t>
      </w:r>
      <w:r w:rsidR="00FD0C6C" w:rsidRPr="00D925EB">
        <w:rPr>
          <w:rFonts w:ascii="gobCL" w:hAnsi="gobCL"/>
          <w:b/>
          <w:bCs/>
          <w:sz w:val="24"/>
          <w:szCs w:val="24"/>
        </w:rPr>
        <w:t>13</w:t>
      </w:r>
      <w:r w:rsidR="00A36687" w:rsidRPr="00D925EB">
        <w:rPr>
          <w:rFonts w:ascii="gobCL" w:hAnsi="gobCL"/>
          <w:b/>
          <w:bCs/>
          <w:sz w:val="24"/>
          <w:szCs w:val="24"/>
        </w:rPr>
        <w:t xml:space="preserve"> de octubre</w:t>
      </w:r>
      <w:r w:rsidR="00717EFC" w:rsidRPr="00D925EB">
        <w:rPr>
          <w:rFonts w:ascii="gobCL" w:hAnsi="gobCL"/>
          <w:b/>
          <w:bCs/>
          <w:sz w:val="24"/>
          <w:szCs w:val="24"/>
        </w:rPr>
        <w:t xml:space="preserve"> de 2022</w:t>
      </w:r>
      <w:r w:rsidR="008715C6" w:rsidRPr="00D925EB">
        <w:rPr>
          <w:rFonts w:ascii="gobCL" w:hAnsi="gobCL"/>
          <w:b/>
          <w:bCs/>
          <w:sz w:val="24"/>
          <w:szCs w:val="24"/>
        </w:rPr>
        <w:t>.</w:t>
      </w:r>
    </w:p>
    <w:p w14:paraId="0CDC0233" w14:textId="77777777" w:rsidR="00D20333" w:rsidRPr="00D20333" w:rsidRDefault="00D20333" w:rsidP="00D20333">
      <w:pPr>
        <w:spacing w:after="0" w:line="360" w:lineRule="auto"/>
        <w:jc w:val="center"/>
        <w:rPr>
          <w:rFonts w:ascii="gobCL" w:hAnsi="gobCL"/>
          <w:b/>
          <w:bCs/>
          <w:sz w:val="24"/>
          <w:szCs w:val="24"/>
        </w:rPr>
      </w:pPr>
    </w:p>
    <w:p w14:paraId="377526DB" w14:textId="7F55AA01" w:rsidR="005C77EA" w:rsidRPr="00B857F0" w:rsidRDefault="0057407C" w:rsidP="00314644">
      <w:pPr>
        <w:spacing w:after="0"/>
        <w:rPr>
          <w:rFonts w:ascii="gobCL" w:hAnsi="gobCL"/>
          <w:sz w:val="18"/>
          <w:szCs w:val="18"/>
        </w:rPr>
      </w:pPr>
      <w:r>
        <w:rPr>
          <w:noProof/>
          <w:lang w:eastAsia="es-CL"/>
        </w:rPr>
        <w:drawing>
          <wp:inline distT="0" distB="0" distL="0" distR="0" wp14:anchorId="1467F17C" wp14:editId="30D0AF4D">
            <wp:extent cx="6381750" cy="33013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96699" cy="3309088"/>
                    </a:xfrm>
                    <a:prstGeom prst="rect">
                      <a:avLst/>
                    </a:prstGeom>
                  </pic:spPr>
                </pic:pic>
              </a:graphicData>
            </a:graphic>
          </wp:inline>
        </w:drawing>
      </w:r>
    </w:p>
    <w:p w14:paraId="095316F5" w14:textId="77777777" w:rsidR="001F6AE8" w:rsidRDefault="001F6AE8" w:rsidP="00314644">
      <w:pPr>
        <w:spacing w:after="0"/>
        <w:rPr>
          <w:rFonts w:ascii="gobCL" w:hAnsi="gobCL"/>
          <w:sz w:val="18"/>
          <w:szCs w:val="18"/>
        </w:rPr>
      </w:pPr>
    </w:p>
    <w:p w14:paraId="26351BD4" w14:textId="3D1981B2" w:rsidR="00717EFC" w:rsidRPr="00D925EB" w:rsidRDefault="00717EFC" w:rsidP="00314644">
      <w:pPr>
        <w:spacing w:after="0"/>
        <w:rPr>
          <w:rFonts w:ascii="gobCL" w:hAnsi="gobCL"/>
          <w:sz w:val="18"/>
          <w:szCs w:val="18"/>
        </w:rPr>
      </w:pPr>
      <w:r w:rsidRPr="00D925EB">
        <w:rPr>
          <w:rFonts w:ascii="gobCL" w:hAnsi="gobCL"/>
          <w:sz w:val="18"/>
          <w:szCs w:val="18"/>
        </w:rPr>
        <w:t>Fuente</w:t>
      </w:r>
      <w:r w:rsidR="00314644" w:rsidRPr="00D925EB">
        <w:rPr>
          <w:rFonts w:ascii="gobCL" w:hAnsi="gobCL"/>
          <w:sz w:val="18"/>
          <w:szCs w:val="18"/>
        </w:rPr>
        <w:t>:</w:t>
      </w:r>
      <w:r w:rsidRPr="00D925EB">
        <w:rPr>
          <w:rFonts w:ascii="gobCL" w:hAnsi="gobCL"/>
          <w:sz w:val="18"/>
          <w:szCs w:val="18"/>
        </w:rPr>
        <w:t xml:space="preserve"> Departamento de Epidemiología. Ministerio de Salud de Chile.</w:t>
      </w:r>
    </w:p>
    <w:p w14:paraId="5E794D7C" w14:textId="77777777" w:rsidR="00717EFC" w:rsidRPr="00B857F0" w:rsidRDefault="00717EFC" w:rsidP="00314644">
      <w:pPr>
        <w:spacing w:after="0"/>
        <w:rPr>
          <w:rFonts w:ascii="gobCL" w:hAnsi="gobCL"/>
          <w:sz w:val="18"/>
          <w:szCs w:val="18"/>
        </w:rPr>
      </w:pPr>
      <w:r w:rsidRPr="00D925EB">
        <w:rPr>
          <w:rFonts w:ascii="gobCL" w:hAnsi="gobCL"/>
          <w:sz w:val="18"/>
          <w:szCs w:val="18"/>
        </w:rPr>
        <w:t>Datos provisorios en proceso de validación</w:t>
      </w:r>
      <w:r w:rsidRPr="00B857F0">
        <w:rPr>
          <w:rFonts w:ascii="gobCL" w:hAnsi="gobCL"/>
          <w:sz w:val="18"/>
          <w:szCs w:val="18"/>
        </w:rPr>
        <w:t xml:space="preserve"> </w:t>
      </w:r>
    </w:p>
    <w:p w14:paraId="4FD8CC0E" w14:textId="256322E6" w:rsidR="00717EFC" w:rsidRPr="00B857F0" w:rsidRDefault="00717EFC" w:rsidP="00633475">
      <w:pPr>
        <w:spacing w:after="0" w:line="360" w:lineRule="auto"/>
        <w:jc w:val="both"/>
        <w:rPr>
          <w:rFonts w:ascii="gobCL" w:hAnsi="gobCL"/>
        </w:rPr>
      </w:pPr>
    </w:p>
    <w:p w14:paraId="5D2178CF" w14:textId="5421B8BD" w:rsidR="00E94859" w:rsidRDefault="00E94859" w:rsidP="00633475">
      <w:pPr>
        <w:spacing w:after="0" w:line="360" w:lineRule="auto"/>
        <w:jc w:val="both"/>
        <w:rPr>
          <w:rFonts w:ascii="gobCL" w:hAnsi="gobCL"/>
          <w:b/>
          <w:bCs/>
          <w:sz w:val="28"/>
          <w:szCs w:val="28"/>
        </w:rPr>
      </w:pPr>
    </w:p>
    <w:p w14:paraId="2CB92060" w14:textId="551BC410" w:rsidR="00484527" w:rsidRDefault="00484527" w:rsidP="00633475">
      <w:pPr>
        <w:spacing w:after="0" w:line="360" w:lineRule="auto"/>
        <w:jc w:val="both"/>
        <w:rPr>
          <w:rFonts w:ascii="gobCL" w:hAnsi="gobCL"/>
          <w:b/>
          <w:bCs/>
          <w:sz w:val="28"/>
          <w:szCs w:val="28"/>
        </w:rPr>
      </w:pPr>
    </w:p>
    <w:p w14:paraId="253D74B4" w14:textId="41B2DD88" w:rsidR="00484527" w:rsidRDefault="00484527" w:rsidP="00633475">
      <w:pPr>
        <w:spacing w:after="0" w:line="360" w:lineRule="auto"/>
        <w:jc w:val="both"/>
        <w:rPr>
          <w:rFonts w:ascii="gobCL" w:hAnsi="gobCL"/>
          <w:b/>
          <w:bCs/>
          <w:sz w:val="28"/>
          <w:szCs w:val="28"/>
        </w:rPr>
      </w:pPr>
    </w:p>
    <w:p w14:paraId="05E97078" w14:textId="678C58B3" w:rsidR="00484527" w:rsidRDefault="00484527" w:rsidP="00633475">
      <w:pPr>
        <w:spacing w:after="0" w:line="360" w:lineRule="auto"/>
        <w:jc w:val="both"/>
        <w:rPr>
          <w:rFonts w:ascii="gobCL" w:hAnsi="gobCL"/>
          <w:b/>
          <w:bCs/>
          <w:sz w:val="28"/>
          <w:szCs w:val="28"/>
        </w:rPr>
      </w:pPr>
    </w:p>
    <w:p w14:paraId="30B46C46" w14:textId="13423A7F" w:rsidR="009D6367" w:rsidRPr="00D925EB" w:rsidRDefault="009D6367" w:rsidP="00633475">
      <w:pPr>
        <w:spacing w:after="0" w:line="360" w:lineRule="auto"/>
        <w:jc w:val="both"/>
        <w:rPr>
          <w:rFonts w:ascii="gobCL" w:hAnsi="gobCL"/>
          <w:b/>
          <w:bCs/>
          <w:sz w:val="28"/>
          <w:szCs w:val="28"/>
        </w:rPr>
      </w:pPr>
      <w:r w:rsidRPr="00D925EB">
        <w:rPr>
          <w:rFonts w:ascii="gobCL" w:hAnsi="gobCL"/>
          <w:b/>
          <w:bCs/>
          <w:sz w:val="28"/>
          <w:szCs w:val="28"/>
        </w:rPr>
        <w:lastRenderedPageBreak/>
        <w:t>Caracterización clínica</w:t>
      </w:r>
    </w:p>
    <w:p w14:paraId="0BA1ABD6" w14:textId="77777777" w:rsidR="00717EFC" w:rsidRPr="00D925EB" w:rsidRDefault="00717EFC" w:rsidP="00633475">
      <w:pPr>
        <w:spacing w:after="0" w:line="360" w:lineRule="auto"/>
        <w:jc w:val="both"/>
        <w:rPr>
          <w:rFonts w:ascii="gobCL" w:hAnsi="gobCL"/>
        </w:rPr>
      </w:pPr>
    </w:p>
    <w:p w14:paraId="5449FAEC" w14:textId="0AED3BB6" w:rsidR="00717EFC" w:rsidRPr="00D925EB" w:rsidRDefault="00717EFC" w:rsidP="00633475">
      <w:pPr>
        <w:spacing w:after="0" w:line="360" w:lineRule="auto"/>
        <w:jc w:val="both"/>
        <w:rPr>
          <w:rFonts w:ascii="gobCL" w:hAnsi="gobCL"/>
        </w:rPr>
      </w:pPr>
      <w:r w:rsidRPr="00D925EB">
        <w:rPr>
          <w:rFonts w:ascii="gobCL" w:hAnsi="gobCL"/>
        </w:rPr>
        <w:t>Respecto a la presentación clínica, entre los signos y síntomas el 9</w:t>
      </w:r>
      <w:r w:rsidR="00EC57F2" w:rsidRPr="00D925EB">
        <w:rPr>
          <w:rFonts w:ascii="gobCL" w:hAnsi="gobCL"/>
        </w:rPr>
        <w:t>8,</w:t>
      </w:r>
      <w:r w:rsidR="000443E6" w:rsidRPr="00D925EB">
        <w:rPr>
          <w:rFonts w:ascii="gobCL" w:hAnsi="gobCL"/>
        </w:rPr>
        <w:t>9</w:t>
      </w:r>
      <w:r w:rsidRPr="00D925EB">
        <w:rPr>
          <w:rFonts w:ascii="gobCL" w:hAnsi="gobCL"/>
        </w:rPr>
        <w:t xml:space="preserve">% presentó exantema agudo, el </w:t>
      </w:r>
      <w:r w:rsidR="008557B3" w:rsidRPr="00D925EB">
        <w:rPr>
          <w:rFonts w:ascii="gobCL" w:hAnsi="gobCL"/>
        </w:rPr>
        <w:t>69,</w:t>
      </w:r>
      <w:r w:rsidR="000443E6" w:rsidRPr="00D925EB">
        <w:rPr>
          <w:rFonts w:ascii="gobCL" w:hAnsi="gobCL"/>
        </w:rPr>
        <w:t>8</w:t>
      </w:r>
      <w:r w:rsidRPr="00D925EB">
        <w:rPr>
          <w:rFonts w:ascii="gobCL" w:hAnsi="gobCL"/>
        </w:rPr>
        <w:t xml:space="preserve">% lesiones de piel/mucosa anogenitales, el </w:t>
      </w:r>
      <w:r w:rsidR="00A220C6" w:rsidRPr="00D925EB">
        <w:rPr>
          <w:rFonts w:ascii="gobCL" w:hAnsi="gobCL"/>
        </w:rPr>
        <w:t>5</w:t>
      </w:r>
      <w:r w:rsidR="008557B3" w:rsidRPr="00D925EB">
        <w:rPr>
          <w:rFonts w:ascii="gobCL" w:hAnsi="gobCL"/>
        </w:rPr>
        <w:t>5,</w:t>
      </w:r>
      <w:r w:rsidR="00DA0936" w:rsidRPr="00D925EB">
        <w:rPr>
          <w:rFonts w:ascii="gobCL" w:hAnsi="gobCL"/>
        </w:rPr>
        <w:t>7</w:t>
      </w:r>
      <w:r w:rsidRPr="00D925EB">
        <w:rPr>
          <w:rFonts w:ascii="gobCL" w:hAnsi="gobCL"/>
        </w:rPr>
        <w:t>% linfadenopatía, el 5</w:t>
      </w:r>
      <w:r w:rsidR="00DA0936" w:rsidRPr="00D925EB">
        <w:rPr>
          <w:rFonts w:ascii="gobCL" w:hAnsi="gobCL"/>
        </w:rPr>
        <w:t>4</w:t>
      </w:r>
      <w:r w:rsidR="00A220C6" w:rsidRPr="00D925EB">
        <w:rPr>
          <w:rFonts w:ascii="gobCL" w:hAnsi="gobCL"/>
        </w:rPr>
        <w:t>,</w:t>
      </w:r>
      <w:r w:rsidR="00DA0936" w:rsidRPr="00D925EB">
        <w:rPr>
          <w:rFonts w:ascii="gobCL" w:hAnsi="gobCL"/>
        </w:rPr>
        <w:t>2</w:t>
      </w:r>
      <w:r w:rsidRPr="00D925EB">
        <w:rPr>
          <w:rFonts w:ascii="gobCL" w:hAnsi="gobCL"/>
        </w:rPr>
        <w:t xml:space="preserve">% mialgia, </w:t>
      </w:r>
      <w:r w:rsidR="00AF012D" w:rsidRPr="00D925EB">
        <w:rPr>
          <w:rFonts w:ascii="gobCL" w:hAnsi="gobCL"/>
        </w:rPr>
        <w:t xml:space="preserve">el </w:t>
      </w:r>
      <w:r w:rsidR="008557B3" w:rsidRPr="00D925EB">
        <w:rPr>
          <w:rFonts w:ascii="gobCL" w:hAnsi="gobCL"/>
        </w:rPr>
        <w:t>53,</w:t>
      </w:r>
      <w:r w:rsidR="00DA0936" w:rsidRPr="00D925EB">
        <w:rPr>
          <w:rFonts w:ascii="gobCL" w:hAnsi="gobCL"/>
        </w:rPr>
        <w:t>2</w:t>
      </w:r>
      <w:r w:rsidR="00AF012D" w:rsidRPr="00D925EB">
        <w:rPr>
          <w:rFonts w:ascii="gobCL" w:hAnsi="gobCL"/>
        </w:rPr>
        <w:t>% cefalea</w:t>
      </w:r>
      <w:r w:rsidRPr="00D925EB">
        <w:rPr>
          <w:rFonts w:ascii="gobCL" w:hAnsi="gobCL"/>
        </w:rPr>
        <w:t xml:space="preserve"> </w:t>
      </w:r>
      <w:r w:rsidR="00AF012D" w:rsidRPr="00D925EB">
        <w:rPr>
          <w:rFonts w:ascii="gobCL" w:hAnsi="gobCL"/>
        </w:rPr>
        <w:t xml:space="preserve">y </w:t>
      </w:r>
      <w:r w:rsidRPr="00D925EB">
        <w:rPr>
          <w:rFonts w:ascii="gobCL" w:hAnsi="gobCL"/>
        </w:rPr>
        <w:t xml:space="preserve">el </w:t>
      </w:r>
      <w:r w:rsidR="00A220C6" w:rsidRPr="00D925EB">
        <w:rPr>
          <w:rFonts w:ascii="gobCL" w:hAnsi="gobCL"/>
        </w:rPr>
        <w:t>5</w:t>
      </w:r>
      <w:r w:rsidR="00D56E8F" w:rsidRPr="00D925EB">
        <w:rPr>
          <w:rFonts w:ascii="gobCL" w:hAnsi="gobCL"/>
        </w:rPr>
        <w:t>2</w:t>
      </w:r>
      <w:r w:rsidR="008557B3" w:rsidRPr="00D925EB">
        <w:rPr>
          <w:rFonts w:ascii="gobCL" w:hAnsi="gobCL"/>
        </w:rPr>
        <w:t>,</w:t>
      </w:r>
      <w:r w:rsidR="000443E6" w:rsidRPr="00D925EB">
        <w:rPr>
          <w:rFonts w:ascii="gobCL" w:hAnsi="gobCL"/>
        </w:rPr>
        <w:t>9</w:t>
      </w:r>
      <w:r w:rsidRPr="00D925EB">
        <w:rPr>
          <w:rFonts w:ascii="gobCL" w:hAnsi="gobCL"/>
        </w:rPr>
        <w:t>% fiebre &gt; 38,5° (Figura 4).</w:t>
      </w:r>
      <w:r w:rsidR="001029EE" w:rsidRPr="00D925EB">
        <w:rPr>
          <w:rFonts w:ascii="gobCL" w:hAnsi="gobCL"/>
        </w:rPr>
        <w:t xml:space="preserve"> De los casos totales, </w:t>
      </w:r>
      <w:r w:rsidR="00C279BF" w:rsidRPr="00D925EB">
        <w:rPr>
          <w:rFonts w:ascii="gobCL" w:hAnsi="gobCL"/>
        </w:rPr>
        <w:t>7</w:t>
      </w:r>
      <w:r w:rsidR="001316FB" w:rsidRPr="00D925EB">
        <w:rPr>
          <w:rFonts w:ascii="gobCL" w:hAnsi="gobCL"/>
        </w:rPr>
        <w:t>6</w:t>
      </w:r>
      <w:r w:rsidR="001029EE" w:rsidRPr="00D925EB">
        <w:rPr>
          <w:rFonts w:ascii="gobCL" w:hAnsi="gobCL"/>
        </w:rPr>
        <w:t xml:space="preserve"> se encuentran en investigación aún para determinar su sintomatología.</w:t>
      </w:r>
    </w:p>
    <w:p w14:paraId="3E6FD0D3" w14:textId="77777777" w:rsidR="00107184" w:rsidRPr="00D925EB" w:rsidRDefault="00107184" w:rsidP="00633475">
      <w:pPr>
        <w:spacing w:after="0" w:line="360" w:lineRule="auto"/>
        <w:jc w:val="both"/>
        <w:rPr>
          <w:rFonts w:ascii="gobCL" w:hAnsi="gobCL"/>
        </w:rPr>
      </w:pPr>
    </w:p>
    <w:p w14:paraId="2F384867" w14:textId="03209911" w:rsidR="00D56E8F" w:rsidRPr="00D925EB" w:rsidRDefault="00021C5C" w:rsidP="00C14699">
      <w:pPr>
        <w:spacing w:after="0" w:line="360" w:lineRule="auto"/>
        <w:jc w:val="center"/>
        <w:rPr>
          <w:rFonts w:ascii="gobCL" w:hAnsi="gobCL"/>
          <w:sz w:val="24"/>
          <w:szCs w:val="24"/>
        </w:rPr>
      </w:pPr>
      <w:r w:rsidRPr="00D925EB">
        <w:rPr>
          <w:rFonts w:ascii="gobCL" w:hAnsi="gobCL"/>
          <w:b/>
          <w:bCs/>
          <w:sz w:val="24"/>
          <w:szCs w:val="24"/>
        </w:rPr>
        <w:t>Figura 5</w:t>
      </w:r>
      <w:r w:rsidR="00717EFC" w:rsidRPr="00D925EB">
        <w:rPr>
          <w:rFonts w:ascii="gobCL" w:hAnsi="gobCL"/>
          <w:b/>
          <w:bCs/>
          <w:sz w:val="24"/>
          <w:szCs w:val="24"/>
        </w:rPr>
        <w:t>: Casos confirmados y probables de viruela del mono segú</w:t>
      </w:r>
      <w:r w:rsidR="0067090E" w:rsidRPr="00D925EB">
        <w:rPr>
          <w:rFonts w:ascii="gobCL" w:hAnsi="gobCL"/>
          <w:b/>
          <w:bCs/>
          <w:sz w:val="24"/>
          <w:szCs w:val="24"/>
        </w:rPr>
        <w:t xml:space="preserve">n signos y síntomas. Chile al </w:t>
      </w:r>
      <w:r w:rsidR="00C14699" w:rsidRPr="00D925EB">
        <w:rPr>
          <w:rFonts w:ascii="gobCL" w:hAnsi="gobCL"/>
          <w:b/>
          <w:bCs/>
          <w:sz w:val="24"/>
          <w:szCs w:val="24"/>
        </w:rPr>
        <w:t>13</w:t>
      </w:r>
      <w:r w:rsidR="00A36687" w:rsidRPr="00D925EB">
        <w:rPr>
          <w:rFonts w:ascii="gobCL" w:hAnsi="gobCL"/>
          <w:b/>
          <w:bCs/>
          <w:sz w:val="24"/>
          <w:szCs w:val="24"/>
        </w:rPr>
        <w:t xml:space="preserve"> de octubre</w:t>
      </w:r>
      <w:r w:rsidR="00717EFC" w:rsidRPr="00D925EB">
        <w:rPr>
          <w:rFonts w:ascii="gobCL" w:hAnsi="gobCL"/>
          <w:b/>
          <w:bCs/>
          <w:sz w:val="24"/>
          <w:szCs w:val="24"/>
        </w:rPr>
        <w:t xml:space="preserve"> de 2022</w:t>
      </w:r>
      <w:r w:rsidR="00232324" w:rsidRPr="00D925EB">
        <w:rPr>
          <w:rFonts w:ascii="gobCL" w:hAnsi="gobCL"/>
          <w:b/>
          <w:bCs/>
          <w:sz w:val="24"/>
          <w:szCs w:val="24"/>
        </w:rPr>
        <w:t>.</w:t>
      </w:r>
    </w:p>
    <w:p w14:paraId="4FCC7268" w14:textId="5CDD3561" w:rsidR="00061744" w:rsidRPr="00D925EB" w:rsidRDefault="00061744" w:rsidP="00314644">
      <w:pPr>
        <w:spacing w:after="0"/>
        <w:rPr>
          <w:rFonts w:ascii="gobCL" w:hAnsi="gobCL"/>
          <w:sz w:val="18"/>
          <w:szCs w:val="18"/>
        </w:rPr>
      </w:pPr>
    </w:p>
    <w:p w14:paraId="26EA02BB" w14:textId="5EEE434D" w:rsidR="00C14699" w:rsidRPr="00D925EB" w:rsidRDefault="000443E6" w:rsidP="00314644">
      <w:pPr>
        <w:spacing w:after="0"/>
        <w:rPr>
          <w:rFonts w:ascii="gobCL" w:hAnsi="gobCL"/>
          <w:sz w:val="18"/>
          <w:szCs w:val="18"/>
        </w:rPr>
      </w:pPr>
      <w:r w:rsidRPr="00D925EB">
        <w:rPr>
          <w:noProof/>
          <w:lang w:eastAsia="es-CL"/>
        </w:rPr>
        <w:drawing>
          <wp:inline distT="0" distB="0" distL="0" distR="0" wp14:anchorId="7598CD64" wp14:editId="1F8C10CF">
            <wp:extent cx="6405092" cy="33003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07267" cy="3301504"/>
                    </a:xfrm>
                    <a:prstGeom prst="rect">
                      <a:avLst/>
                    </a:prstGeom>
                  </pic:spPr>
                </pic:pic>
              </a:graphicData>
            </a:graphic>
          </wp:inline>
        </w:drawing>
      </w:r>
    </w:p>
    <w:p w14:paraId="7A778ADC" w14:textId="77777777" w:rsidR="00C14699" w:rsidRPr="00D925EB" w:rsidRDefault="00C14699" w:rsidP="00314644">
      <w:pPr>
        <w:spacing w:after="0"/>
        <w:rPr>
          <w:rFonts w:ascii="gobCL" w:hAnsi="gobCL"/>
          <w:sz w:val="18"/>
          <w:szCs w:val="18"/>
        </w:rPr>
      </w:pPr>
    </w:p>
    <w:p w14:paraId="004729E8" w14:textId="10C54BD8" w:rsidR="00717EFC" w:rsidRPr="00D925EB" w:rsidRDefault="00717EFC" w:rsidP="00314644">
      <w:pPr>
        <w:spacing w:after="0"/>
        <w:rPr>
          <w:rFonts w:ascii="gobCL" w:hAnsi="gobCL"/>
          <w:sz w:val="18"/>
          <w:szCs w:val="18"/>
        </w:rPr>
      </w:pPr>
      <w:r w:rsidRPr="00D925EB">
        <w:rPr>
          <w:rFonts w:ascii="gobCL" w:hAnsi="gobCL"/>
          <w:sz w:val="18"/>
          <w:szCs w:val="18"/>
        </w:rPr>
        <w:t>Fuente</w:t>
      </w:r>
      <w:r w:rsidR="00314644" w:rsidRPr="00D925EB">
        <w:rPr>
          <w:rFonts w:ascii="gobCL" w:hAnsi="gobCL"/>
          <w:sz w:val="18"/>
          <w:szCs w:val="18"/>
        </w:rPr>
        <w:t xml:space="preserve">: </w:t>
      </w:r>
      <w:r w:rsidRPr="00D925EB">
        <w:rPr>
          <w:rFonts w:ascii="gobCL" w:hAnsi="gobCL"/>
          <w:sz w:val="18"/>
          <w:szCs w:val="18"/>
        </w:rPr>
        <w:t>Departamento de Epidemiología. Ministerio de Salud de Chile.</w:t>
      </w:r>
    </w:p>
    <w:p w14:paraId="6277B3EE" w14:textId="717FAD9C" w:rsidR="00BF4DA5" w:rsidRPr="00D925EB" w:rsidRDefault="00717EFC" w:rsidP="00633475">
      <w:pPr>
        <w:spacing w:after="0"/>
        <w:rPr>
          <w:rFonts w:ascii="gobCL" w:hAnsi="gobCL"/>
          <w:sz w:val="18"/>
          <w:szCs w:val="18"/>
        </w:rPr>
      </w:pPr>
      <w:r w:rsidRPr="00D925EB">
        <w:rPr>
          <w:rFonts w:ascii="gobCL" w:hAnsi="gobCL"/>
          <w:sz w:val="18"/>
          <w:szCs w:val="18"/>
        </w:rPr>
        <w:t>Datos provisorios en proceso de validación</w:t>
      </w:r>
      <w:r w:rsidR="00314644" w:rsidRPr="00D925EB">
        <w:rPr>
          <w:rFonts w:ascii="gobCL" w:hAnsi="gobCL"/>
          <w:sz w:val="18"/>
          <w:szCs w:val="18"/>
        </w:rPr>
        <w:t>.</w:t>
      </w:r>
    </w:p>
    <w:p w14:paraId="23C86301" w14:textId="3AAB4FC0" w:rsidR="00717EFC" w:rsidRPr="00D925EB" w:rsidRDefault="00717EFC" w:rsidP="00314644">
      <w:pPr>
        <w:rPr>
          <w:lang w:eastAsia="es-CL"/>
        </w:rPr>
      </w:pPr>
    </w:p>
    <w:p w14:paraId="13FE6465" w14:textId="4735AE38" w:rsidR="00902EA4" w:rsidRPr="00D925EB" w:rsidRDefault="00902EA4" w:rsidP="00FB0623">
      <w:pPr>
        <w:spacing w:line="360" w:lineRule="auto"/>
        <w:jc w:val="both"/>
        <w:rPr>
          <w:rFonts w:ascii="gobCL" w:hAnsi="gobCL"/>
        </w:rPr>
      </w:pPr>
      <w:r w:rsidRPr="00D925EB">
        <w:rPr>
          <w:rFonts w:ascii="gobCL" w:hAnsi="gobCL"/>
        </w:rPr>
        <w:t>De los ca</w:t>
      </w:r>
      <w:r w:rsidR="00017EB6" w:rsidRPr="00D925EB">
        <w:rPr>
          <w:rFonts w:ascii="gobCL" w:hAnsi="gobCL"/>
        </w:rPr>
        <w:t>sos confirmados y probables, 11</w:t>
      </w:r>
      <w:r w:rsidR="00573DA2" w:rsidRPr="00D925EB">
        <w:rPr>
          <w:rFonts w:ascii="gobCL" w:hAnsi="gobCL"/>
        </w:rPr>
        <w:t>7</w:t>
      </w:r>
      <w:r w:rsidRPr="00D925EB">
        <w:rPr>
          <w:rFonts w:ascii="gobCL" w:hAnsi="gobCL"/>
        </w:rPr>
        <w:t xml:space="preserve"> fueron hospitalizados en algún momento, ninguno en Unidades de Cuidado Intensivo (UCI)</w:t>
      </w:r>
      <w:r w:rsidR="00FB0623" w:rsidRPr="00D925EB">
        <w:rPr>
          <w:rFonts w:ascii="gobCL" w:hAnsi="gobCL"/>
        </w:rPr>
        <w:t>, prioritariamente para fines de aislamiento</w:t>
      </w:r>
      <w:r w:rsidRPr="00D925EB">
        <w:rPr>
          <w:rFonts w:ascii="gobCL" w:hAnsi="gobCL"/>
        </w:rPr>
        <w:t>. Hasta la fecha, ninguno de los casos ha fallecido.</w:t>
      </w:r>
    </w:p>
    <w:p w14:paraId="0ADF5F33" w14:textId="32D6B305" w:rsidR="00B857F0" w:rsidRPr="00EA3360" w:rsidRDefault="009D6367" w:rsidP="00EA3360">
      <w:pPr>
        <w:spacing w:line="360" w:lineRule="auto"/>
        <w:jc w:val="both"/>
        <w:rPr>
          <w:rFonts w:ascii="gobCL" w:hAnsi="gobCL"/>
        </w:rPr>
      </w:pPr>
      <w:r w:rsidRPr="00D925EB">
        <w:rPr>
          <w:rFonts w:ascii="gobCL" w:hAnsi="gobCL"/>
        </w:rPr>
        <w:t xml:space="preserve">Con respecto a antecedentes de coinfecciones, según datos obtenidos </w:t>
      </w:r>
      <w:r w:rsidR="0050719E" w:rsidRPr="00D925EB">
        <w:rPr>
          <w:rFonts w:ascii="gobCL" w:hAnsi="gobCL"/>
        </w:rPr>
        <w:t xml:space="preserve">en la entrevista epidemiológica, se observó que el </w:t>
      </w:r>
      <w:r w:rsidR="00587633" w:rsidRPr="00D925EB">
        <w:rPr>
          <w:rFonts w:ascii="gobCL" w:hAnsi="gobCL"/>
        </w:rPr>
        <w:t>5</w:t>
      </w:r>
      <w:r w:rsidR="005D25CF" w:rsidRPr="00D925EB">
        <w:rPr>
          <w:rFonts w:ascii="gobCL" w:hAnsi="gobCL"/>
        </w:rPr>
        <w:t>3</w:t>
      </w:r>
      <w:r w:rsidR="0071652E" w:rsidRPr="00D925EB">
        <w:rPr>
          <w:rFonts w:ascii="gobCL" w:hAnsi="gobCL"/>
        </w:rPr>
        <w:t>,</w:t>
      </w:r>
      <w:r w:rsidR="00F575FE" w:rsidRPr="00D925EB">
        <w:rPr>
          <w:rFonts w:ascii="gobCL" w:hAnsi="gobCL"/>
        </w:rPr>
        <w:t>3</w:t>
      </w:r>
      <w:r w:rsidR="0050719E" w:rsidRPr="00D925EB">
        <w:rPr>
          <w:rFonts w:ascii="gobCL" w:hAnsi="gobCL"/>
        </w:rPr>
        <w:t>% de los casos se auto reportaron co</w:t>
      </w:r>
      <w:r w:rsidR="00550A6A" w:rsidRPr="00D925EB">
        <w:rPr>
          <w:rFonts w:ascii="gobCL" w:hAnsi="gobCL"/>
        </w:rPr>
        <w:t>n</w:t>
      </w:r>
      <w:r w:rsidR="0050719E" w:rsidRPr="00D925EB">
        <w:rPr>
          <w:rFonts w:ascii="gobCL" w:hAnsi="gobCL"/>
        </w:rPr>
        <w:t xml:space="preserve"> VIH, el 1</w:t>
      </w:r>
      <w:r w:rsidR="005D25CF" w:rsidRPr="00D925EB">
        <w:rPr>
          <w:rFonts w:ascii="gobCL" w:hAnsi="gobCL"/>
        </w:rPr>
        <w:t>1</w:t>
      </w:r>
      <w:r w:rsidR="006C5343" w:rsidRPr="00D925EB">
        <w:rPr>
          <w:rFonts w:ascii="gobCL" w:hAnsi="gobCL"/>
        </w:rPr>
        <w:t>,</w:t>
      </w:r>
      <w:r w:rsidR="005D25CF" w:rsidRPr="00D925EB">
        <w:rPr>
          <w:rFonts w:ascii="gobCL" w:hAnsi="gobCL"/>
        </w:rPr>
        <w:t>4</w:t>
      </w:r>
      <w:r w:rsidR="0050719E" w:rsidRPr="00D925EB">
        <w:rPr>
          <w:rFonts w:ascii="gobCL" w:hAnsi="gobCL"/>
        </w:rPr>
        <w:t xml:space="preserve">% con sífilis y un </w:t>
      </w:r>
      <w:r w:rsidR="006C5343" w:rsidRPr="00D925EB">
        <w:rPr>
          <w:rFonts w:ascii="gobCL" w:hAnsi="gobCL"/>
        </w:rPr>
        <w:t>1</w:t>
      </w:r>
      <w:r w:rsidR="0050719E" w:rsidRPr="00D925EB">
        <w:rPr>
          <w:rFonts w:ascii="gobCL" w:hAnsi="gobCL"/>
        </w:rPr>
        <w:t>,</w:t>
      </w:r>
      <w:r w:rsidR="005479AB" w:rsidRPr="00D925EB">
        <w:rPr>
          <w:rFonts w:ascii="gobCL" w:hAnsi="gobCL"/>
        </w:rPr>
        <w:t>5</w:t>
      </w:r>
      <w:r w:rsidR="0050719E" w:rsidRPr="00D925EB">
        <w:rPr>
          <w:rFonts w:ascii="gobCL" w:hAnsi="gobCL"/>
        </w:rPr>
        <w:t xml:space="preserve">% </w:t>
      </w:r>
      <w:r w:rsidR="00550A6A" w:rsidRPr="00D925EB">
        <w:rPr>
          <w:rFonts w:ascii="gobCL" w:hAnsi="gobCL"/>
        </w:rPr>
        <w:t xml:space="preserve">con </w:t>
      </w:r>
      <w:r w:rsidR="0050719E" w:rsidRPr="00D925EB">
        <w:rPr>
          <w:rFonts w:ascii="gobCL" w:hAnsi="gobCL"/>
        </w:rPr>
        <w:t>gonorrea.</w:t>
      </w:r>
    </w:p>
    <w:p w14:paraId="4795D7D6" w14:textId="29200E64" w:rsidR="008D7925" w:rsidRPr="00C65408" w:rsidRDefault="00255560">
      <w:pPr>
        <w:pStyle w:val="Ttulo1"/>
        <w:numPr>
          <w:ilvl w:val="0"/>
          <w:numId w:val="2"/>
        </w:numPr>
        <w:spacing w:before="0" w:line="360" w:lineRule="auto"/>
        <w:rPr>
          <w:rFonts w:ascii="gobCL" w:eastAsia="Times New Roman" w:hAnsi="gobCL"/>
          <w:b/>
          <w:bCs/>
          <w:color w:val="0070C0"/>
          <w:lang w:eastAsia="es-CL"/>
        </w:rPr>
      </w:pPr>
      <w:bookmarkStart w:id="6" w:name="_Toc115441224"/>
      <w:r w:rsidRPr="00C65408">
        <w:rPr>
          <w:rFonts w:ascii="gobCL" w:eastAsia="Times New Roman" w:hAnsi="gobCL"/>
          <w:b/>
          <w:bCs/>
          <w:color w:val="0070C0"/>
          <w:lang w:eastAsia="es-CL"/>
        </w:rPr>
        <w:lastRenderedPageBreak/>
        <w:t>BROTES Y CONGLOMERADOS</w:t>
      </w:r>
      <w:bookmarkEnd w:id="6"/>
    </w:p>
    <w:p w14:paraId="34036715" w14:textId="77649BBB" w:rsidR="009E1A44" w:rsidRDefault="009E1A44" w:rsidP="003E5D00">
      <w:pPr>
        <w:spacing w:after="0" w:line="360" w:lineRule="auto"/>
        <w:jc w:val="both"/>
        <w:rPr>
          <w:rFonts w:ascii="gobCL" w:hAnsi="gobCL"/>
          <w:highlight w:val="yellow"/>
        </w:rPr>
      </w:pPr>
    </w:p>
    <w:p w14:paraId="3897B97B" w14:textId="77777777" w:rsidR="00250374" w:rsidRDefault="00250374" w:rsidP="00250374">
      <w:pPr>
        <w:spacing w:after="0" w:line="360" w:lineRule="auto"/>
        <w:jc w:val="both"/>
        <w:rPr>
          <w:rFonts w:ascii="gobCL" w:hAnsi="gobCL"/>
        </w:rPr>
      </w:pPr>
      <w:r w:rsidRPr="003E5D00">
        <w:rPr>
          <w:rFonts w:ascii="gobCL" w:hAnsi="gobCL"/>
        </w:rPr>
        <w:t xml:space="preserve">Respecto a los nexos epidemiológicos identificados dentro de los 100 primeros casos reportados en Chile que se han revisado con mayor exhaustividad, un 44% (n=44) de ellos presentan nexo epidemiológico, formando así un total de 14 brotes (casos secundarios) y 5 conglomerados (exposición común o mismo lugar de riesgo). </w:t>
      </w:r>
    </w:p>
    <w:p w14:paraId="2FB37701" w14:textId="77777777" w:rsidR="00250374" w:rsidRDefault="00250374" w:rsidP="00250374">
      <w:pPr>
        <w:spacing w:after="0" w:line="360" w:lineRule="auto"/>
        <w:jc w:val="both"/>
        <w:rPr>
          <w:rFonts w:ascii="gobCL" w:hAnsi="gobCL"/>
        </w:rPr>
      </w:pPr>
    </w:p>
    <w:p w14:paraId="12E93A9B" w14:textId="77777777" w:rsidR="00250374" w:rsidRDefault="00250374" w:rsidP="00250374">
      <w:pPr>
        <w:spacing w:after="0" w:line="360" w:lineRule="auto"/>
        <w:jc w:val="both"/>
        <w:rPr>
          <w:rFonts w:ascii="gobCL" w:hAnsi="gobCL"/>
          <w:bCs/>
        </w:rPr>
      </w:pPr>
      <w:r>
        <w:rPr>
          <w:rFonts w:ascii="gobCL" w:hAnsi="gobCL"/>
          <w:bCs/>
        </w:rPr>
        <w:t xml:space="preserve">En los brotes identificados, destaca </w:t>
      </w:r>
      <w:r w:rsidRPr="003A4CD8">
        <w:rPr>
          <w:rFonts w:ascii="gobCL" w:hAnsi="gobCL"/>
          <w:bCs/>
        </w:rPr>
        <w:t>la concurrencia a eventos de carácter sexual como cruising parties, saunas ga</w:t>
      </w:r>
      <w:r>
        <w:rPr>
          <w:rFonts w:ascii="gobCL" w:hAnsi="gobCL"/>
          <w:bCs/>
        </w:rPr>
        <w:t>ys</w:t>
      </w:r>
      <w:r w:rsidRPr="003A4CD8">
        <w:rPr>
          <w:rFonts w:ascii="gobCL" w:hAnsi="gobCL"/>
          <w:bCs/>
        </w:rPr>
        <w:t xml:space="preserve">, fiestas privadas nudistas y el uso de aplicaciones de citas para encuentros </w:t>
      </w:r>
      <w:r>
        <w:rPr>
          <w:rFonts w:ascii="gobCL" w:hAnsi="gobCL"/>
          <w:bCs/>
        </w:rPr>
        <w:t xml:space="preserve">sexuales </w:t>
      </w:r>
      <w:r w:rsidRPr="003A4CD8">
        <w:rPr>
          <w:rFonts w:ascii="gobCL" w:hAnsi="gobCL"/>
          <w:bCs/>
        </w:rPr>
        <w:t xml:space="preserve">casuales, </w:t>
      </w:r>
      <w:r>
        <w:rPr>
          <w:rFonts w:ascii="gobCL" w:hAnsi="gobCL"/>
          <w:bCs/>
        </w:rPr>
        <w:t xml:space="preserve">lo cual ha </w:t>
      </w:r>
      <w:r w:rsidRPr="003A4CD8">
        <w:rPr>
          <w:rFonts w:ascii="gobCL" w:hAnsi="gobCL"/>
          <w:bCs/>
        </w:rPr>
        <w:t xml:space="preserve">dificultado la identificación de </w:t>
      </w:r>
      <w:r>
        <w:rPr>
          <w:rFonts w:ascii="gobCL" w:hAnsi="gobCL"/>
          <w:bCs/>
        </w:rPr>
        <w:t xml:space="preserve">contactos o </w:t>
      </w:r>
      <w:r w:rsidRPr="003A4CD8">
        <w:rPr>
          <w:rFonts w:ascii="gobCL" w:hAnsi="gobCL"/>
          <w:bCs/>
        </w:rPr>
        <w:t xml:space="preserve">expuestos. Algunos de estos conglomerados corresponden a parejas estables o casuales y, en las que se puede estimar </w:t>
      </w:r>
      <w:r>
        <w:rPr>
          <w:rFonts w:ascii="gobCL" w:hAnsi="gobCL"/>
          <w:bCs/>
        </w:rPr>
        <w:t xml:space="preserve">que </w:t>
      </w:r>
      <w:r w:rsidRPr="003A4CD8">
        <w:rPr>
          <w:rFonts w:ascii="gobCL" w:hAnsi="gobCL"/>
          <w:bCs/>
        </w:rPr>
        <w:t>el per</w:t>
      </w:r>
      <w:r>
        <w:rPr>
          <w:rFonts w:ascii="gobCL" w:hAnsi="gobCL"/>
          <w:bCs/>
        </w:rPr>
        <w:t>í</w:t>
      </w:r>
      <w:r w:rsidRPr="003A4CD8">
        <w:rPr>
          <w:rFonts w:ascii="gobCL" w:hAnsi="gobCL"/>
          <w:bCs/>
        </w:rPr>
        <w:t>odo de incubación promedio</w:t>
      </w:r>
      <w:r>
        <w:rPr>
          <w:rFonts w:ascii="gobCL" w:hAnsi="gobCL"/>
          <w:bCs/>
        </w:rPr>
        <w:t xml:space="preserve"> </w:t>
      </w:r>
      <w:r w:rsidRPr="003A4CD8">
        <w:rPr>
          <w:rFonts w:ascii="gobCL" w:hAnsi="gobCL"/>
          <w:bCs/>
        </w:rPr>
        <w:t xml:space="preserve">alcanza </w:t>
      </w:r>
      <w:r>
        <w:rPr>
          <w:rFonts w:ascii="gobCL" w:hAnsi="gobCL"/>
          <w:bCs/>
        </w:rPr>
        <w:t xml:space="preserve">los </w:t>
      </w:r>
      <w:r w:rsidRPr="003A4CD8">
        <w:rPr>
          <w:rFonts w:ascii="gobCL" w:hAnsi="gobCL"/>
          <w:bCs/>
        </w:rPr>
        <w:t xml:space="preserve">8 días (dato sujeto a confirmación) y, en otras situaciones, se expusieron al mismo evento (fiestas o encuentros sexuales con desconocidos), ya que enferman con una diferencia mínima o </w:t>
      </w:r>
      <w:r>
        <w:rPr>
          <w:rFonts w:ascii="gobCL" w:hAnsi="gobCL"/>
          <w:bCs/>
        </w:rPr>
        <w:t>i</w:t>
      </w:r>
      <w:r w:rsidRPr="003A4CD8">
        <w:rPr>
          <w:rFonts w:ascii="gobCL" w:hAnsi="gobCL"/>
          <w:bCs/>
        </w:rPr>
        <w:t>nferior al promedio de incubación descrito en la literatura</w:t>
      </w:r>
      <w:r>
        <w:rPr>
          <w:rFonts w:ascii="gobCL" w:hAnsi="gobCL"/>
          <w:bCs/>
        </w:rPr>
        <w:t>.</w:t>
      </w:r>
    </w:p>
    <w:p w14:paraId="187A0C9A" w14:textId="77777777" w:rsidR="00250374" w:rsidRDefault="00250374" w:rsidP="00250374">
      <w:pPr>
        <w:spacing w:after="0" w:line="360" w:lineRule="auto"/>
        <w:jc w:val="both"/>
        <w:rPr>
          <w:rFonts w:ascii="gobCL" w:hAnsi="gobCL"/>
        </w:rPr>
      </w:pPr>
    </w:p>
    <w:p w14:paraId="1D421D94" w14:textId="1651475C" w:rsidR="00250374" w:rsidRDefault="00250374" w:rsidP="00250374">
      <w:pPr>
        <w:spacing w:after="0" w:line="360" w:lineRule="auto"/>
        <w:jc w:val="both"/>
        <w:rPr>
          <w:rFonts w:ascii="gobCL" w:hAnsi="gobCL"/>
        </w:rPr>
      </w:pPr>
      <w:r>
        <w:rPr>
          <w:rFonts w:ascii="gobCL" w:hAnsi="gobCL"/>
        </w:rPr>
        <w:t xml:space="preserve">Al </w:t>
      </w:r>
      <w:r w:rsidR="00DC1A47">
        <w:rPr>
          <w:rFonts w:ascii="gobCL" w:hAnsi="gobCL"/>
        </w:rPr>
        <w:t>13</w:t>
      </w:r>
      <w:r>
        <w:rPr>
          <w:rFonts w:ascii="gobCL" w:hAnsi="gobCL"/>
        </w:rPr>
        <w:t xml:space="preserve"> de octubre de 2022, </w:t>
      </w:r>
      <w:r w:rsidRPr="00CD5A20">
        <w:rPr>
          <w:rFonts w:ascii="gobCL" w:hAnsi="gobCL"/>
        </w:rPr>
        <w:t xml:space="preserve">el </w:t>
      </w:r>
      <w:r w:rsidR="00DC1A47">
        <w:rPr>
          <w:rFonts w:ascii="gobCL" w:hAnsi="gobCL"/>
        </w:rPr>
        <w:t>21</w:t>
      </w:r>
      <w:r w:rsidRPr="00CD5A20">
        <w:rPr>
          <w:rFonts w:ascii="gobCL" w:hAnsi="gobCL"/>
        </w:rPr>
        <w:t xml:space="preserve">% </w:t>
      </w:r>
      <w:r>
        <w:rPr>
          <w:rFonts w:ascii="gobCL" w:hAnsi="gobCL"/>
        </w:rPr>
        <w:t>(n=</w:t>
      </w:r>
      <w:r w:rsidR="00DC1A47">
        <w:rPr>
          <w:rFonts w:ascii="gobCL" w:hAnsi="gobCL"/>
        </w:rPr>
        <w:t>212</w:t>
      </w:r>
      <w:r>
        <w:rPr>
          <w:rFonts w:ascii="gobCL" w:hAnsi="gobCL"/>
        </w:rPr>
        <w:t xml:space="preserve">) </w:t>
      </w:r>
      <w:r w:rsidRPr="00CD5A20">
        <w:rPr>
          <w:rFonts w:ascii="gobCL" w:hAnsi="gobCL"/>
        </w:rPr>
        <w:t xml:space="preserve">de los casos </w:t>
      </w:r>
      <w:r>
        <w:rPr>
          <w:rFonts w:ascii="gobCL" w:hAnsi="gobCL"/>
        </w:rPr>
        <w:t>está</w:t>
      </w:r>
      <w:r w:rsidRPr="00CD5A20">
        <w:rPr>
          <w:rFonts w:ascii="gobCL" w:hAnsi="gobCL"/>
        </w:rPr>
        <w:t xml:space="preserve"> asocia</w:t>
      </w:r>
      <w:r>
        <w:rPr>
          <w:rFonts w:ascii="gobCL" w:hAnsi="gobCL"/>
        </w:rPr>
        <w:t>do</w:t>
      </w:r>
      <w:r w:rsidRPr="00CD5A20">
        <w:rPr>
          <w:rFonts w:ascii="gobCL" w:hAnsi="gobCL"/>
        </w:rPr>
        <w:t xml:space="preserve"> a un brote o clúster</w:t>
      </w:r>
      <w:r>
        <w:rPr>
          <w:rFonts w:ascii="gobCL" w:hAnsi="gobCL"/>
        </w:rPr>
        <w:t xml:space="preserve">, </w:t>
      </w:r>
      <w:r w:rsidRPr="00CD5A20">
        <w:rPr>
          <w:rFonts w:ascii="gobCL" w:hAnsi="gobCL"/>
        </w:rPr>
        <w:t>que en su mayoría se han detectado de forma retrospectiva, esto se debe a la reticencia de los casos a entregar información de sus contactos</w:t>
      </w:r>
      <w:r>
        <w:rPr>
          <w:rFonts w:ascii="gobCL" w:hAnsi="gobCL"/>
        </w:rPr>
        <w:t xml:space="preserve"> durante la entrevista epidemiológica. Del total de casos en brotes y clúster, el </w:t>
      </w:r>
      <w:r w:rsidR="00DC1A47">
        <w:rPr>
          <w:rFonts w:ascii="gobCL" w:hAnsi="gobCL"/>
        </w:rPr>
        <w:t>62</w:t>
      </w:r>
      <w:r>
        <w:rPr>
          <w:rFonts w:ascii="gobCL" w:hAnsi="gobCL"/>
        </w:rPr>
        <w:t>% (n=</w:t>
      </w:r>
      <w:r w:rsidR="00DC1A47">
        <w:rPr>
          <w:rFonts w:ascii="gobCL" w:hAnsi="gobCL"/>
        </w:rPr>
        <w:t>132</w:t>
      </w:r>
      <w:r>
        <w:rPr>
          <w:rFonts w:ascii="gobCL" w:hAnsi="gobCL"/>
        </w:rPr>
        <w:t xml:space="preserve">) corresponden a 2 casos con nexo establecido y el </w:t>
      </w:r>
      <w:r w:rsidR="00DC1A47">
        <w:rPr>
          <w:rFonts w:ascii="gobCL" w:hAnsi="gobCL"/>
        </w:rPr>
        <w:t>38</w:t>
      </w:r>
      <w:r>
        <w:rPr>
          <w:rFonts w:ascii="gobCL" w:hAnsi="gobCL"/>
        </w:rPr>
        <w:t>% (n=</w:t>
      </w:r>
      <w:r w:rsidR="00DC1A47">
        <w:rPr>
          <w:rFonts w:ascii="gobCL" w:hAnsi="gobCL"/>
        </w:rPr>
        <w:t>80</w:t>
      </w:r>
      <w:r>
        <w:rPr>
          <w:rFonts w:ascii="gobCL" w:hAnsi="gobCL"/>
        </w:rPr>
        <w:t>) restante a 3 o más casos</w:t>
      </w:r>
      <w:r w:rsidRPr="00250374">
        <w:rPr>
          <w:rFonts w:ascii="gobCL" w:hAnsi="gobCL"/>
        </w:rPr>
        <w:t xml:space="preserve"> (Tabla </w:t>
      </w:r>
      <w:r w:rsidR="00C65408">
        <w:rPr>
          <w:rFonts w:ascii="gobCL" w:hAnsi="gobCL"/>
        </w:rPr>
        <w:t>3</w:t>
      </w:r>
      <w:r w:rsidRPr="00250374">
        <w:rPr>
          <w:rFonts w:ascii="gobCL" w:hAnsi="gobCL"/>
        </w:rPr>
        <w:t xml:space="preserve"> y </w:t>
      </w:r>
      <w:r w:rsidR="00C65408">
        <w:rPr>
          <w:rFonts w:ascii="gobCL" w:hAnsi="gobCL"/>
        </w:rPr>
        <w:t>4</w:t>
      </w:r>
      <w:r w:rsidRPr="00250374">
        <w:rPr>
          <w:rFonts w:ascii="gobCL" w:hAnsi="gobCL"/>
        </w:rPr>
        <w:t>).</w:t>
      </w:r>
      <w:r>
        <w:rPr>
          <w:rFonts w:ascii="gobCL" w:hAnsi="gobCL"/>
        </w:rPr>
        <w:t xml:space="preserve"> </w:t>
      </w:r>
      <w:r w:rsidRPr="003E5D00">
        <w:rPr>
          <w:rFonts w:ascii="gobCL" w:hAnsi="gobCL"/>
        </w:rPr>
        <w:t xml:space="preserve">La Figura </w:t>
      </w:r>
      <w:r>
        <w:rPr>
          <w:rFonts w:ascii="gobCL" w:hAnsi="gobCL"/>
        </w:rPr>
        <w:t>6</w:t>
      </w:r>
      <w:r w:rsidRPr="003E5D00">
        <w:rPr>
          <w:rFonts w:ascii="gobCL" w:hAnsi="gobCL"/>
        </w:rPr>
        <w:t xml:space="preserve"> muestra los brotes y conglomerados que se han identificado a la fecha, incluyendo los anteriormente mencionados. </w:t>
      </w:r>
    </w:p>
    <w:p w14:paraId="472B5B01" w14:textId="77777777" w:rsidR="00DD0022" w:rsidRDefault="00DD0022" w:rsidP="00250374">
      <w:pPr>
        <w:spacing w:after="0" w:line="360" w:lineRule="auto"/>
        <w:jc w:val="both"/>
        <w:rPr>
          <w:rFonts w:ascii="gobCL" w:hAnsi="gobCL"/>
        </w:rPr>
      </w:pPr>
    </w:p>
    <w:p w14:paraId="6F160721" w14:textId="36034550" w:rsidR="00421BD7" w:rsidRDefault="00250374" w:rsidP="00F729ED">
      <w:pPr>
        <w:spacing w:after="0" w:line="360" w:lineRule="auto"/>
        <w:jc w:val="center"/>
        <w:rPr>
          <w:rFonts w:ascii="gobCL" w:hAnsi="gobCL"/>
          <w:b/>
          <w:bCs/>
          <w:sz w:val="24"/>
          <w:szCs w:val="24"/>
        </w:rPr>
      </w:pPr>
      <w:r w:rsidRPr="00421BD7">
        <w:rPr>
          <w:rFonts w:ascii="gobCL" w:hAnsi="gobCL"/>
          <w:b/>
          <w:bCs/>
          <w:sz w:val="24"/>
          <w:szCs w:val="24"/>
        </w:rPr>
        <w:t xml:space="preserve">Tabla </w:t>
      </w:r>
      <w:r w:rsidR="00C65408">
        <w:rPr>
          <w:rFonts w:ascii="gobCL" w:hAnsi="gobCL"/>
          <w:b/>
          <w:bCs/>
          <w:sz w:val="24"/>
          <w:szCs w:val="24"/>
        </w:rPr>
        <w:t>3</w:t>
      </w:r>
      <w:r w:rsidRPr="00421BD7">
        <w:rPr>
          <w:rFonts w:ascii="gobCL" w:hAnsi="gobCL"/>
          <w:b/>
          <w:bCs/>
          <w:sz w:val="24"/>
          <w:szCs w:val="24"/>
        </w:rPr>
        <w:t xml:space="preserve">. N° de casos asociados a brotes y conglomerados en Viruela Símica en Chile al </w:t>
      </w:r>
      <w:r w:rsidR="00DC1A47">
        <w:rPr>
          <w:rFonts w:ascii="gobCL" w:hAnsi="gobCL"/>
          <w:b/>
          <w:bCs/>
          <w:sz w:val="24"/>
          <w:szCs w:val="24"/>
        </w:rPr>
        <w:t>13</w:t>
      </w:r>
      <w:r w:rsidR="00F729ED">
        <w:rPr>
          <w:rFonts w:ascii="gobCL" w:hAnsi="gobCL"/>
          <w:b/>
          <w:bCs/>
          <w:sz w:val="24"/>
          <w:szCs w:val="24"/>
        </w:rPr>
        <w:t xml:space="preserve"> de octubre de 2022.</w:t>
      </w:r>
    </w:p>
    <w:p w14:paraId="3686E6C7" w14:textId="77777777" w:rsidR="00F729ED" w:rsidRPr="00F729ED" w:rsidRDefault="00F729ED" w:rsidP="00F729ED">
      <w:pPr>
        <w:spacing w:after="0" w:line="360" w:lineRule="auto"/>
        <w:jc w:val="center"/>
        <w:rPr>
          <w:rFonts w:ascii="gobCL" w:hAnsi="gobCL"/>
          <w:b/>
          <w:bCs/>
          <w:sz w:val="24"/>
          <w:szCs w:val="24"/>
        </w:rPr>
      </w:pPr>
    </w:p>
    <w:tbl>
      <w:tblPr>
        <w:tblW w:w="7680" w:type="dxa"/>
        <w:tblInd w:w="988" w:type="dxa"/>
        <w:tblCellMar>
          <w:left w:w="70" w:type="dxa"/>
          <w:right w:w="70" w:type="dxa"/>
        </w:tblCellMar>
        <w:tblLook w:val="04A0" w:firstRow="1" w:lastRow="0" w:firstColumn="1" w:lastColumn="0" w:noHBand="0" w:noVBand="1"/>
      </w:tblPr>
      <w:tblGrid>
        <w:gridCol w:w="1960"/>
        <w:gridCol w:w="2580"/>
        <w:gridCol w:w="1640"/>
        <w:gridCol w:w="1500"/>
      </w:tblGrid>
      <w:tr w:rsidR="00250374" w:rsidRPr="00A142AA" w14:paraId="4C84B956" w14:textId="77777777" w:rsidTr="00775B97">
        <w:trPr>
          <w:trHeight w:val="513"/>
        </w:trPr>
        <w:tc>
          <w:tcPr>
            <w:tcW w:w="1960" w:type="dxa"/>
            <w:tcBorders>
              <w:top w:val="single" w:sz="4" w:space="0" w:color="auto"/>
              <w:bottom w:val="single" w:sz="4" w:space="0" w:color="auto"/>
            </w:tcBorders>
            <w:shd w:val="clear" w:color="auto" w:fill="auto"/>
            <w:noWrap/>
            <w:vAlign w:val="center"/>
            <w:hideMark/>
          </w:tcPr>
          <w:p w14:paraId="54E7DCE5" w14:textId="77777777" w:rsidR="00250374" w:rsidRPr="00A142AA" w:rsidRDefault="00250374" w:rsidP="00775B97">
            <w:pPr>
              <w:spacing w:after="0"/>
              <w:ind w:left="-72"/>
              <w:jc w:val="center"/>
              <w:rPr>
                <w:rFonts w:ascii="gobCL" w:eastAsia="Times New Roman" w:hAnsi="gobCL" w:cs="Calibri"/>
                <w:b/>
                <w:bCs/>
                <w:color w:val="000000"/>
                <w:sz w:val="18"/>
                <w:szCs w:val="18"/>
                <w:lang w:eastAsia="es-CL"/>
              </w:rPr>
            </w:pPr>
            <w:r w:rsidRPr="00A142AA">
              <w:rPr>
                <w:rFonts w:ascii="gobCL" w:eastAsia="Times New Roman" w:hAnsi="gobCL" w:cs="Calibri"/>
                <w:b/>
                <w:bCs/>
                <w:color w:val="000000"/>
                <w:sz w:val="18"/>
                <w:szCs w:val="18"/>
                <w:lang w:eastAsia="es-CL"/>
              </w:rPr>
              <w:t>T</w:t>
            </w:r>
            <w:r>
              <w:rPr>
                <w:rFonts w:ascii="gobCL" w:eastAsia="Times New Roman" w:hAnsi="gobCL" w:cs="Calibri"/>
                <w:b/>
                <w:bCs/>
                <w:color w:val="000000"/>
                <w:sz w:val="18"/>
                <w:szCs w:val="18"/>
                <w:lang w:eastAsia="es-CL"/>
              </w:rPr>
              <w:t>ipo de nexo</w:t>
            </w:r>
          </w:p>
        </w:tc>
        <w:tc>
          <w:tcPr>
            <w:tcW w:w="2580" w:type="dxa"/>
            <w:tcBorders>
              <w:top w:val="single" w:sz="4" w:space="0" w:color="auto"/>
              <w:bottom w:val="single" w:sz="4" w:space="0" w:color="auto"/>
            </w:tcBorders>
            <w:shd w:val="clear" w:color="auto" w:fill="auto"/>
            <w:vAlign w:val="center"/>
            <w:hideMark/>
          </w:tcPr>
          <w:p w14:paraId="5E120F16" w14:textId="77777777" w:rsidR="00250374" w:rsidRPr="00A142AA" w:rsidRDefault="00250374"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N° total</w:t>
            </w:r>
          </w:p>
        </w:tc>
        <w:tc>
          <w:tcPr>
            <w:tcW w:w="1640" w:type="dxa"/>
            <w:tcBorders>
              <w:top w:val="single" w:sz="4" w:space="0" w:color="auto"/>
              <w:bottom w:val="single" w:sz="4" w:space="0" w:color="auto"/>
            </w:tcBorders>
            <w:shd w:val="clear" w:color="auto" w:fill="auto"/>
            <w:vAlign w:val="center"/>
            <w:hideMark/>
          </w:tcPr>
          <w:p w14:paraId="75D9AD49" w14:textId="77777777" w:rsidR="00250374" w:rsidRPr="00A142AA" w:rsidRDefault="00250374"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N° Casos Asociados</w:t>
            </w:r>
          </w:p>
        </w:tc>
        <w:tc>
          <w:tcPr>
            <w:tcW w:w="1500" w:type="dxa"/>
            <w:tcBorders>
              <w:top w:val="single" w:sz="4" w:space="0" w:color="auto"/>
              <w:bottom w:val="single" w:sz="4" w:space="0" w:color="auto"/>
            </w:tcBorders>
            <w:shd w:val="clear" w:color="auto" w:fill="auto"/>
            <w:noWrap/>
            <w:vAlign w:val="center"/>
            <w:hideMark/>
          </w:tcPr>
          <w:p w14:paraId="3AD9B1BF" w14:textId="77777777" w:rsidR="00250374" w:rsidRPr="00A142AA" w:rsidRDefault="00250374"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 xml:space="preserve">% total de casos </w:t>
            </w:r>
          </w:p>
        </w:tc>
      </w:tr>
      <w:tr w:rsidR="00250374" w:rsidRPr="00A142AA" w14:paraId="06911CDF" w14:textId="77777777" w:rsidTr="00775B97">
        <w:trPr>
          <w:trHeight w:val="288"/>
        </w:trPr>
        <w:tc>
          <w:tcPr>
            <w:tcW w:w="1960" w:type="dxa"/>
            <w:tcBorders>
              <w:top w:val="single" w:sz="4" w:space="0" w:color="auto"/>
            </w:tcBorders>
            <w:shd w:val="clear" w:color="auto" w:fill="auto"/>
            <w:noWrap/>
            <w:vAlign w:val="bottom"/>
            <w:hideMark/>
          </w:tcPr>
          <w:p w14:paraId="1AC706FD" w14:textId="77777777" w:rsidR="00250374" w:rsidRPr="00A142AA" w:rsidRDefault="00250374" w:rsidP="00775B97">
            <w:pPr>
              <w:spacing w:after="0"/>
              <w:ind w:left="-72"/>
              <w:rPr>
                <w:rFonts w:ascii="gobCL" w:eastAsia="Times New Roman" w:hAnsi="gobCL" w:cs="Calibri"/>
                <w:color w:val="000000"/>
                <w:sz w:val="18"/>
                <w:szCs w:val="18"/>
                <w:lang w:eastAsia="es-CL"/>
              </w:rPr>
            </w:pPr>
            <w:r w:rsidRPr="00A142AA">
              <w:rPr>
                <w:rFonts w:ascii="gobCL" w:eastAsia="Times New Roman" w:hAnsi="gobCL" w:cs="Calibri"/>
                <w:color w:val="000000"/>
                <w:sz w:val="18"/>
                <w:szCs w:val="18"/>
                <w:lang w:eastAsia="es-CL"/>
              </w:rPr>
              <w:t>B</w:t>
            </w:r>
            <w:r>
              <w:rPr>
                <w:rFonts w:ascii="gobCL" w:eastAsia="Times New Roman" w:hAnsi="gobCL" w:cs="Calibri"/>
                <w:color w:val="000000"/>
                <w:sz w:val="18"/>
                <w:szCs w:val="18"/>
                <w:lang w:eastAsia="es-CL"/>
              </w:rPr>
              <w:t>rotes</w:t>
            </w:r>
          </w:p>
        </w:tc>
        <w:tc>
          <w:tcPr>
            <w:tcW w:w="2580" w:type="dxa"/>
            <w:tcBorders>
              <w:top w:val="single" w:sz="4" w:space="0" w:color="auto"/>
            </w:tcBorders>
            <w:shd w:val="clear" w:color="auto" w:fill="auto"/>
            <w:noWrap/>
            <w:vAlign w:val="bottom"/>
            <w:hideMark/>
          </w:tcPr>
          <w:p w14:paraId="6063DD38" w14:textId="54B8BED5" w:rsidR="00250374" w:rsidRPr="00A142AA" w:rsidRDefault="00DC1A47" w:rsidP="00775B97">
            <w:pPr>
              <w:spacing w:after="0"/>
              <w:ind w:left="-72"/>
              <w:jc w:val="center"/>
              <w:rPr>
                <w:rFonts w:ascii="gobCL" w:eastAsia="Times New Roman" w:hAnsi="gobCL" w:cs="Calibri"/>
                <w:color w:val="000000"/>
                <w:sz w:val="18"/>
                <w:szCs w:val="18"/>
                <w:lang w:eastAsia="es-CL"/>
              </w:rPr>
            </w:pPr>
            <w:r>
              <w:rPr>
                <w:rFonts w:ascii="gobCL" w:eastAsia="Times New Roman" w:hAnsi="gobCL" w:cs="Calibri"/>
                <w:color w:val="000000"/>
                <w:sz w:val="18"/>
                <w:szCs w:val="18"/>
                <w:lang w:eastAsia="es-CL"/>
              </w:rPr>
              <w:t>40</w:t>
            </w:r>
          </w:p>
        </w:tc>
        <w:tc>
          <w:tcPr>
            <w:tcW w:w="1640" w:type="dxa"/>
            <w:tcBorders>
              <w:top w:val="single" w:sz="4" w:space="0" w:color="auto"/>
            </w:tcBorders>
            <w:shd w:val="clear" w:color="auto" w:fill="auto"/>
            <w:noWrap/>
            <w:vAlign w:val="bottom"/>
            <w:hideMark/>
          </w:tcPr>
          <w:p w14:paraId="722A87DB" w14:textId="24379D3A" w:rsidR="00250374" w:rsidRPr="00A142AA" w:rsidRDefault="00DC1A47" w:rsidP="00775B97">
            <w:pPr>
              <w:spacing w:after="0"/>
              <w:ind w:left="-72"/>
              <w:jc w:val="center"/>
              <w:rPr>
                <w:rFonts w:ascii="gobCL" w:eastAsia="Times New Roman" w:hAnsi="gobCL" w:cs="Calibri"/>
                <w:color w:val="000000"/>
                <w:sz w:val="18"/>
                <w:szCs w:val="18"/>
                <w:lang w:eastAsia="es-CL"/>
              </w:rPr>
            </w:pPr>
            <w:r>
              <w:rPr>
                <w:rFonts w:ascii="gobCL" w:eastAsia="Times New Roman" w:hAnsi="gobCL" w:cs="Calibri"/>
                <w:color w:val="000000"/>
                <w:sz w:val="18"/>
                <w:szCs w:val="18"/>
                <w:lang w:eastAsia="es-CL"/>
              </w:rPr>
              <w:t>103</w:t>
            </w:r>
          </w:p>
        </w:tc>
        <w:tc>
          <w:tcPr>
            <w:tcW w:w="1500" w:type="dxa"/>
            <w:tcBorders>
              <w:top w:val="single" w:sz="4" w:space="0" w:color="auto"/>
            </w:tcBorders>
            <w:shd w:val="clear" w:color="auto" w:fill="auto"/>
            <w:noWrap/>
            <w:vAlign w:val="bottom"/>
            <w:hideMark/>
          </w:tcPr>
          <w:p w14:paraId="64AAC695" w14:textId="23B12885" w:rsidR="00250374" w:rsidRPr="00A142AA" w:rsidRDefault="00DC1A47"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10</w:t>
            </w:r>
            <w:r w:rsidR="00250374" w:rsidRPr="00A142AA">
              <w:rPr>
                <w:rFonts w:ascii="gobCL" w:eastAsia="Times New Roman" w:hAnsi="gobCL" w:cs="Calibri"/>
                <w:b/>
                <w:bCs/>
                <w:color w:val="000000"/>
                <w:sz w:val="18"/>
                <w:szCs w:val="18"/>
                <w:lang w:eastAsia="es-CL"/>
              </w:rPr>
              <w:t>%</w:t>
            </w:r>
          </w:p>
        </w:tc>
      </w:tr>
      <w:tr w:rsidR="00250374" w:rsidRPr="00A142AA" w14:paraId="619827FA" w14:textId="77777777" w:rsidTr="00775B97">
        <w:trPr>
          <w:trHeight w:val="288"/>
        </w:trPr>
        <w:tc>
          <w:tcPr>
            <w:tcW w:w="1960" w:type="dxa"/>
            <w:tcBorders>
              <w:bottom w:val="single" w:sz="4" w:space="0" w:color="auto"/>
            </w:tcBorders>
            <w:shd w:val="clear" w:color="auto" w:fill="auto"/>
            <w:noWrap/>
            <w:vAlign w:val="bottom"/>
            <w:hideMark/>
          </w:tcPr>
          <w:p w14:paraId="080D4938" w14:textId="77777777" w:rsidR="00250374" w:rsidRPr="00A142AA" w:rsidRDefault="00250374" w:rsidP="00775B97">
            <w:pPr>
              <w:spacing w:after="0"/>
              <w:ind w:left="-72"/>
              <w:rPr>
                <w:rFonts w:ascii="gobCL" w:eastAsia="Times New Roman" w:hAnsi="gobCL" w:cs="Calibri"/>
                <w:color w:val="000000"/>
                <w:sz w:val="18"/>
                <w:szCs w:val="18"/>
                <w:lang w:eastAsia="es-CL"/>
              </w:rPr>
            </w:pPr>
            <w:r>
              <w:rPr>
                <w:rFonts w:ascii="gobCL" w:eastAsia="Times New Roman" w:hAnsi="gobCL" w:cs="Calibri"/>
                <w:color w:val="000000"/>
                <w:sz w:val="18"/>
                <w:szCs w:val="18"/>
                <w:lang w:eastAsia="es-CL"/>
              </w:rPr>
              <w:t>Conglomerados</w:t>
            </w:r>
          </w:p>
        </w:tc>
        <w:tc>
          <w:tcPr>
            <w:tcW w:w="2580" w:type="dxa"/>
            <w:tcBorders>
              <w:bottom w:val="single" w:sz="4" w:space="0" w:color="auto"/>
            </w:tcBorders>
            <w:shd w:val="clear" w:color="auto" w:fill="auto"/>
            <w:noWrap/>
            <w:vAlign w:val="bottom"/>
            <w:hideMark/>
          </w:tcPr>
          <w:p w14:paraId="00BE9149" w14:textId="4EBE3FEB" w:rsidR="00250374" w:rsidRPr="00A142AA" w:rsidRDefault="00DC1A47" w:rsidP="00775B97">
            <w:pPr>
              <w:spacing w:after="0"/>
              <w:ind w:left="-72"/>
              <w:jc w:val="center"/>
              <w:rPr>
                <w:rFonts w:ascii="gobCL" w:eastAsia="Times New Roman" w:hAnsi="gobCL" w:cs="Calibri"/>
                <w:color w:val="000000"/>
                <w:sz w:val="18"/>
                <w:szCs w:val="18"/>
                <w:lang w:eastAsia="es-CL"/>
              </w:rPr>
            </w:pPr>
            <w:r>
              <w:rPr>
                <w:rFonts w:ascii="gobCL" w:eastAsia="Times New Roman" w:hAnsi="gobCL" w:cs="Calibri"/>
                <w:color w:val="000000"/>
                <w:sz w:val="18"/>
                <w:szCs w:val="18"/>
                <w:lang w:eastAsia="es-CL"/>
              </w:rPr>
              <w:t>50</w:t>
            </w:r>
          </w:p>
        </w:tc>
        <w:tc>
          <w:tcPr>
            <w:tcW w:w="1640" w:type="dxa"/>
            <w:tcBorders>
              <w:bottom w:val="single" w:sz="4" w:space="0" w:color="auto"/>
            </w:tcBorders>
            <w:shd w:val="clear" w:color="auto" w:fill="auto"/>
            <w:noWrap/>
            <w:vAlign w:val="bottom"/>
            <w:hideMark/>
          </w:tcPr>
          <w:p w14:paraId="29D849E1" w14:textId="45BBE732" w:rsidR="00250374" w:rsidRPr="00A142AA" w:rsidRDefault="00DC1A47" w:rsidP="00775B97">
            <w:pPr>
              <w:spacing w:after="0"/>
              <w:ind w:left="-72"/>
              <w:jc w:val="center"/>
              <w:rPr>
                <w:rFonts w:ascii="gobCL" w:eastAsia="Times New Roman" w:hAnsi="gobCL" w:cs="Calibri"/>
                <w:color w:val="000000"/>
                <w:sz w:val="18"/>
                <w:szCs w:val="18"/>
                <w:lang w:eastAsia="es-CL"/>
              </w:rPr>
            </w:pPr>
            <w:r>
              <w:rPr>
                <w:rFonts w:ascii="gobCL" w:eastAsia="Times New Roman" w:hAnsi="gobCL" w:cs="Calibri"/>
                <w:color w:val="000000"/>
                <w:sz w:val="18"/>
                <w:szCs w:val="18"/>
                <w:lang w:eastAsia="es-CL"/>
              </w:rPr>
              <w:t>109</w:t>
            </w:r>
          </w:p>
        </w:tc>
        <w:tc>
          <w:tcPr>
            <w:tcW w:w="1500" w:type="dxa"/>
            <w:tcBorders>
              <w:bottom w:val="single" w:sz="4" w:space="0" w:color="auto"/>
            </w:tcBorders>
            <w:shd w:val="clear" w:color="auto" w:fill="auto"/>
            <w:noWrap/>
            <w:vAlign w:val="bottom"/>
            <w:hideMark/>
          </w:tcPr>
          <w:p w14:paraId="69970498" w14:textId="7AADF2D3" w:rsidR="00250374" w:rsidRPr="00A142AA" w:rsidRDefault="00DC1A47"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11</w:t>
            </w:r>
            <w:r w:rsidR="00250374" w:rsidRPr="00A142AA">
              <w:rPr>
                <w:rFonts w:ascii="gobCL" w:eastAsia="Times New Roman" w:hAnsi="gobCL" w:cs="Calibri"/>
                <w:b/>
                <w:bCs/>
                <w:color w:val="000000"/>
                <w:sz w:val="18"/>
                <w:szCs w:val="18"/>
                <w:lang w:eastAsia="es-CL"/>
              </w:rPr>
              <w:t>%</w:t>
            </w:r>
          </w:p>
        </w:tc>
      </w:tr>
      <w:tr w:rsidR="00250374" w:rsidRPr="00A142AA" w14:paraId="6B5D0A15" w14:textId="77777777" w:rsidTr="00775B97">
        <w:trPr>
          <w:trHeight w:val="288"/>
        </w:trPr>
        <w:tc>
          <w:tcPr>
            <w:tcW w:w="1960" w:type="dxa"/>
            <w:tcBorders>
              <w:top w:val="single" w:sz="4" w:space="0" w:color="auto"/>
              <w:bottom w:val="single" w:sz="4" w:space="0" w:color="auto"/>
            </w:tcBorders>
            <w:shd w:val="clear" w:color="auto" w:fill="auto"/>
            <w:noWrap/>
            <w:vAlign w:val="bottom"/>
            <w:hideMark/>
          </w:tcPr>
          <w:p w14:paraId="2542816E" w14:textId="77777777" w:rsidR="00250374" w:rsidRPr="00A142AA" w:rsidRDefault="00250374" w:rsidP="00775B97">
            <w:pPr>
              <w:spacing w:after="0"/>
              <w:ind w:left="-72"/>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Total general</w:t>
            </w:r>
          </w:p>
        </w:tc>
        <w:tc>
          <w:tcPr>
            <w:tcW w:w="2580" w:type="dxa"/>
            <w:tcBorders>
              <w:top w:val="single" w:sz="4" w:space="0" w:color="auto"/>
              <w:bottom w:val="single" w:sz="4" w:space="0" w:color="auto"/>
            </w:tcBorders>
            <w:shd w:val="clear" w:color="auto" w:fill="auto"/>
            <w:noWrap/>
            <w:vAlign w:val="bottom"/>
            <w:hideMark/>
          </w:tcPr>
          <w:p w14:paraId="036C2A1D" w14:textId="67A5C545" w:rsidR="00250374" w:rsidRPr="00A142AA" w:rsidRDefault="00DC1A47"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90</w:t>
            </w:r>
          </w:p>
        </w:tc>
        <w:tc>
          <w:tcPr>
            <w:tcW w:w="1640" w:type="dxa"/>
            <w:tcBorders>
              <w:top w:val="single" w:sz="4" w:space="0" w:color="auto"/>
              <w:bottom w:val="single" w:sz="4" w:space="0" w:color="auto"/>
            </w:tcBorders>
            <w:shd w:val="clear" w:color="auto" w:fill="auto"/>
            <w:noWrap/>
            <w:vAlign w:val="bottom"/>
            <w:hideMark/>
          </w:tcPr>
          <w:p w14:paraId="67984325" w14:textId="4ACAC111" w:rsidR="00250374" w:rsidRPr="00A142AA" w:rsidRDefault="00DC1A47"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212</w:t>
            </w:r>
          </w:p>
        </w:tc>
        <w:tc>
          <w:tcPr>
            <w:tcW w:w="1500" w:type="dxa"/>
            <w:tcBorders>
              <w:top w:val="single" w:sz="4" w:space="0" w:color="auto"/>
              <w:bottom w:val="single" w:sz="4" w:space="0" w:color="auto"/>
            </w:tcBorders>
            <w:shd w:val="clear" w:color="auto" w:fill="auto"/>
            <w:noWrap/>
            <w:vAlign w:val="bottom"/>
            <w:hideMark/>
          </w:tcPr>
          <w:p w14:paraId="5754CD83" w14:textId="62F4EF42" w:rsidR="00250374" w:rsidRPr="00A142AA" w:rsidRDefault="00DC1A47"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21</w:t>
            </w:r>
            <w:r w:rsidR="00250374" w:rsidRPr="00A142AA">
              <w:rPr>
                <w:rFonts w:ascii="gobCL" w:eastAsia="Times New Roman" w:hAnsi="gobCL" w:cs="Calibri"/>
                <w:b/>
                <w:bCs/>
                <w:color w:val="000000"/>
                <w:sz w:val="18"/>
                <w:szCs w:val="18"/>
                <w:lang w:eastAsia="es-CL"/>
              </w:rPr>
              <w:t>%</w:t>
            </w:r>
          </w:p>
        </w:tc>
      </w:tr>
    </w:tbl>
    <w:p w14:paraId="1D694156" w14:textId="77777777" w:rsidR="00421BD7" w:rsidRDefault="00421BD7" w:rsidP="00250374">
      <w:pPr>
        <w:spacing w:after="0"/>
        <w:ind w:left="993"/>
        <w:contextualSpacing/>
        <w:rPr>
          <w:rFonts w:cstheme="minorHAnsi"/>
          <w:i/>
          <w:iCs/>
          <w:sz w:val="16"/>
          <w:szCs w:val="16"/>
        </w:rPr>
      </w:pPr>
    </w:p>
    <w:p w14:paraId="452715CD" w14:textId="77777777" w:rsidR="00D20232" w:rsidRDefault="00D20232" w:rsidP="00421BD7">
      <w:pPr>
        <w:spacing w:after="0"/>
        <w:rPr>
          <w:rFonts w:ascii="gobCL" w:hAnsi="gobCL"/>
          <w:sz w:val="18"/>
          <w:szCs w:val="18"/>
        </w:rPr>
      </w:pPr>
    </w:p>
    <w:p w14:paraId="648358F5" w14:textId="6D21CFA0" w:rsidR="00421BD7" w:rsidRPr="00EA3360" w:rsidRDefault="00421BD7" w:rsidP="00421BD7">
      <w:pPr>
        <w:spacing w:after="0"/>
        <w:rPr>
          <w:rFonts w:ascii="gobCL" w:hAnsi="gobCL"/>
          <w:sz w:val="18"/>
          <w:szCs w:val="18"/>
        </w:rPr>
      </w:pPr>
      <w:r w:rsidRPr="00EA3360">
        <w:rPr>
          <w:rFonts w:ascii="gobCL" w:hAnsi="gobCL"/>
          <w:sz w:val="18"/>
          <w:szCs w:val="18"/>
        </w:rPr>
        <w:t>Fuente: Departamento de Epidemiología. Ministerio de Salud de Chile.</w:t>
      </w:r>
    </w:p>
    <w:p w14:paraId="1DF89CA0" w14:textId="77777777" w:rsidR="00421BD7" w:rsidRPr="00EA3360" w:rsidRDefault="00421BD7" w:rsidP="00421BD7">
      <w:pPr>
        <w:spacing w:after="0"/>
        <w:rPr>
          <w:rFonts w:ascii="gobCL" w:hAnsi="gobCL"/>
          <w:sz w:val="18"/>
          <w:szCs w:val="18"/>
        </w:rPr>
      </w:pPr>
      <w:r w:rsidRPr="00EA3360">
        <w:rPr>
          <w:rFonts w:ascii="gobCL" w:hAnsi="gobCL"/>
          <w:sz w:val="18"/>
          <w:szCs w:val="18"/>
        </w:rPr>
        <w:t>Datos provisorios en proceso de validación.</w:t>
      </w:r>
    </w:p>
    <w:p w14:paraId="43D537B8" w14:textId="77777777" w:rsidR="00250374" w:rsidRDefault="00250374" w:rsidP="00250374">
      <w:pPr>
        <w:spacing w:after="0" w:line="360" w:lineRule="auto"/>
        <w:jc w:val="both"/>
        <w:rPr>
          <w:rFonts w:ascii="gobCL" w:hAnsi="gobCL"/>
        </w:rPr>
      </w:pPr>
    </w:p>
    <w:p w14:paraId="38B77D7B" w14:textId="6BF66A2F" w:rsidR="00250374" w:rsidRDefault="00250374" w:rsidP="00421BD7">
      <w:pPr>
        <w:spacing w:after="0" w:line="360" w:lineRule="auto"/>
        <w:jc w:val="center"/>
        <w:rPr>
          <w:rFonts w:ascii="gobCL" w:hAnsi="gobCL"/>
          <w:b/>
          <w:bCs/>
          <w:sz w:val="24"/>
          <w:szCs w:val="24"/>
        </w:rPr>
      </w:pPr>
      <w:r w:rsidRPr="00421BD7">
        <w:rPr>
          <w:rFonts w:ascii="gobCL" w:hAnsi="gobCL"/>
          <w:b/>
          <w:bCs/>
          <w:sz w:val="24"/>
          <w:szCs w:val="24"/>
        </w:rPr>
        <w:lastRenderedPageBreak/>
        <w:t xml:space="preserve">Tabla </w:t>
      </w:r>
      <w:r w:rsidR="00C65408">
        <w:rPr>
          <w:rFonts w:ascii="gobCL" w:hAnsi="gobCL"/>
          <w:b/>
          <w:bCs/>
          <w:sz w:val="24"/>
          <w:szCs w:val="24"/>
        </w:rPr>
        <w:t>4</w:t>
      </w:r>
      <w:r w:rsidRPr="00421BD7">
        <w:rPr>
          <w:rFonts w:ascii="gobCL" w:hAnsi="gobCL"/>
          <w:b/>
          <w:bCs/>
          <w:sz w:val="24"/>
          <w:szCs w:val="24"/>
        </w:rPr>
        <w:t xml:space="preserve">. Distribución de casos en brotes y conglomerados según N° de casos en Viruela Símica en Chile al </w:t>
      </w:r>
      <w:r w:rsidR="008F5C8A">
        <w:rPr>
          <w:rFonts w:ascii="gobCL" w:hAnsi="gobCL"/>
          <w:b/>
          <w:bCs/>
          <w:sz w:val="24"/>
          <w:szCs w:val="24"/>
        </w:rPr>
        <w:t>13</w:t>
      </w:r>
      <w:r w:rsidRPr="00421BD7">
        <w:rPr>
          <w:rFonts w:ascii="gobCL" w:hAnsi="gobCL"/>
          <w:b/>
          <w:bCs/>
          <w:sz w:val="24"/>
          <w:szCs w:val="24"/>
        </w:rPr>
        <w:t xml:space="preserve"> de octubre de 2022.</w:t>
      </w:r>
    </w:p>
    <w:p w14:paraId="0A22BEDC" w14:textId="77777777" w:rsidR="00421BD7" w:rsidRPr="00421BD7" w:rsidRDefault="00421BD7" w:rsidP="00421BD7">
      <w:pPr>
        <w:spacing w:after="0" w:line="360" w:lineRule="auto"/>
        <w:jc w:val="center"/>
        <w:rPr>
          <w:rFonts w:ascii="gobCL" w:hAnsi="gobCL"/>
          <w:b/>
          <w:bCs/>
          <w:sz w:val="24"/>
          <w:szCs w:val="24"/>
        </w:rPr>
      </w:pPr>
    </w:p>
    <w:tbl>
      <w:tblPr>
        <w:tblW w:w="4540" w:type="dxa"/>
        <w:tblInd w:w="268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60"/>
        <w:gridCol w:w="2580"/>
      </w:tblGrid>
      <w:tr w:rsidR="00250374" w:rsidRPr="00A142AA" w14:paraId="097C0387" w14:textId="77777777" w:rsidTr="00775B97">
        <w:trPr>
          <w:trHeight w:val="864"/>
        </w:trPr>
        <w:tc>
          <w:tcPr>
            <w:tcW w:w="1960" w:type="dxa"/>
            <w:tcBorders>
              <w:top w:val="single" w:sz="4" w:space="0" w:color="auto"/>
              <w:bottom w:val="single" w:sz="4" w:space="0" w:color="auto"/>
            </w:tcBorders>
            <w:shd w:val="clear" w:color="auto" w:fill="auto"/>
            <w:vAlign w:val="center"/>
            <w:hideMark/>
          </w:tcPr>
          <w:p w14:paraId="7255BC3C" w14:textId="77777777" w:rsidR="00250374" w:rsidRPr="00A142AA" w:rsidRDefault="00250374"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N° de casos en brotes y conglomerados</w:t>
            </w:r>
          </w:p>
        </w:tc>
        <w:tc>
          <w:tcPr>
            <w:tcW w:w="2580" w:type="dxa"/>
            <w:tcBorders>
              <w:top w:val="single" w:sz="4" w:space="0" w:color="auto"/>
              <w:bottom w:val="single" w:sz="4" w:space="0" w:color="auto"/>
            </w:tcBorders>
            <w:shd w:val="clear" w:color="auto" w:fill="auto"/>
            <w:vAlign w:val="center"/>
            <w:hideMark/>
          </w:tcPr>
          <w:p w14:paraId="5E2340DB" w14:textId="77777777" w:rsidR="00250374" w:rsidRPr="00A142AA" w:rsidRDefault="00250374" w:rsidP="00775B97">
            <w:pPr>
              <w:spacing w:after="0"/>
              <w:ind w:left="-72"/>
              <w:jc w:val="center"/>
              <w:rPr>
                <w:rFonts w:ascii="gobCL" w:eastAsia="Times New Roman" w:hAnsi="gobCL" w:cs="Calibri"/>
                <w:b/>
                <w:bCs/>
                <w:color w:val="000000"/>
                <w:sz w:val="18"/>
                <w:szCs w:val="18"/>
                <w:lang w:eastAsia="es-CL"/>
              </w:rPr>
            </w:pPr>
            <w:r w:rsidRPr="00A142AA">
              <w:rPr>
                <w:rFonts w:ascii="gobCL" w:eastAsia="Times New Roman" w:hAnsi="gobCL" w:cs="Calibri"/>
                <w:b/>
                <w:bCs/>
                <w:color w:val="000000"/>
                <w:sz w:val="18"/>
                <w:szCs w:val="18"/>
                <w:lang w:eastAsia="es-CL"/>
              </w:rPr>
              <w:t>N°</w:t>
            </w:r>
            <w:r>
              <w:rPr>
                <w:rFonts w:ascii="gobCL" w:eastAsia="Times New Roman" w:hAnsi="gobCL" w:cs="Calibri"/>
                <w:b/>
                <w:bCs/>
                <w:color w:val="000000"/>
                <w:sz w:val="18"/>
                <w:szCs w:val="18"/>
                <w:lang w:eastAsia="es-CL"/>
              </w:rPr>
              <w:t xml:space="preserve"> de Brotes y Conglomerados</w:t>
            </w:r>
          </w:p>
        </w:tc>
      </w:tr>
      <w:tr w:rsidR="00250374" w:rsidRPr="00A142AA" w14:paraId="488F65F5" w14:textId="77777777" w:rsidTr="00775B97">
        <w:trPr>
          <w:trHeight w:val="288"/>
        </w:trPr>
        <w:tc>
          <w:tcPr>
            <w:tcW w:w="1960" w:type="dxa"/>
            <w:tcBorders>
              <w:top w:val="single" w:sz="4" w:space="0" w:color="auto"/>
            </w:tcBorders>
            <w:shd w:val="clear" w:color="auto" w:fill="auto"/>
            <w:noWrap/>
            <w:vAlign w:val="bottom"/>
            <w:hideMark/>
          </w:tcPr>
          <w:p w14:paraId="75A01015" w14:textId="77777777" w:rsidR="00250374" w:rsidRPr="00A142AA" w:rsidRDefault="00250374" w:rsidP="00775B97">
            <w:pPr>
              <w:spacing w:after="0"/>
              <w:ind w:left="-72"/>
              <w:jc w:val="center"/>
              <w:rPr>
                <w:rFonts w:ascii="gobCL" w:eastAsia="Times New Roman" w:hAnsi="gobCL" w:cs="Calibri"/>
                <w:color w:val="000000"/>
                <w:sz w:val="18"/>
                <w:szCs w:val="18"/>
                <w:lang w:eastAsia="es-CL"/>
              </w:rPr>
            </w:pPr>
            <w:r w:rsidRPr="00A142AA">
              <w:rPr>
                <w:rFonts w:ascii="gobCL" w:eastAsia="Times New Roman" w:hAnsi="gobCL" w:cs="Calibri"/>
                <w:color w:val="000000"/>
                <w:sz w:val="18"/>
                <w:szCs w:val="18"/>
                <w:lang w:eastAsia="es-CL"/>
              </w:rPr>
              <w:t>2 casos</w:t>
            </w:r>
          </w:p>
        </w:tc>
        <w:tc>
          <w:tcPr>
            <w:tcW w:w="2580" w:type="dxa"/>
            <w:tcBorders>
              <w:top w:val="single" w:sz="4" w:space="0" w:color="auto"/>
            </w:tcBorders>
            <w:shd w:val="clear" w:color="auto" w:fill="auto"/>
            <w:noWrap/>
            <w:vAlign w:val="bottom"/>
            <w:hideMark/>
          </w:tcPr>
          <w:p w14:paraId="1895DEC2" w14:textId="2D9ADE22" w:rsidR="00250374" w:rsidRPr="00A142AA" w:rsidRDefault="008F5C8A" w:rsidP="00775B97">
            <w:pPr>
              <w:spacing w:after="0"/>
              <w:ind w:left="-72"/>
              <w:jc w:val="center"/>
              <w:rPr>
                <w:rFonts w:ascii="gobCL" w:eastAsia="Times New Roman" w:hAnsi="gobCL" w:cs="Calibri"/>
                <w:color w:val="000000"/>
                <w:sz w:val="18"/>
                <w:szCs w:val="18"/>
                <w:lang w:eastAsia="es-CL"/>
              </w:rPr>
            </w:pPr>
            <w:r>
              <w:rPr>
                <w:rFonts w:ascii="gobCL" w:eastAsia="Times New Roman" w:hAnsi="gobCL" w:cs="Calibri"/>
                <w:color w:val="000000"/>
                <w:sz w:val="18"/>
                <w:szCs w:val="18"/>
                <w:lang w:eastAsia="es-CL"/>
              </w:rPr>
              <w:t>132</w:t>
            </w:r>
          </w:p>
        </w:tc>
      </w:tr>
      <w:tr w:rsidR="00250374" w:rsidRPr="00A142AA" w14:paraId="2F93E725" w14:textId="77777777" w:rsidTr="00775B97">
        <w:trPr>
          <w:trHeight w:val="288"/>
        </w:trPr>
        <w:tc>
          <w:tcPr>
            <w:tcW w:w="1960" w:type="dxa"/>
            <w:shd w:val="clear" w:color="auto" w:fill="auto"/>
            <w:noWrap/>
            <w:vAlign w:val="bottom"/>
            <w:hideMark/>
          </w:tcPr>
          <w:p w14:paraId="40474BA9" w14:textId="77777777" w:rsidR="00250374" w:rsidRPr="00A142AA" w:rsidRDefault="00250374" w:rsidP="00775B97">
            <w:pPr>
              <w:spacing w:after="0"/>
              <w:ind w:left="-72"/>
              <w:jc w:val="center"/>
              <w:rPr>
                <w:rFonts w:ascii="gobCL" w:eastAsia="Times New Roman" w:hAnsi="gobCL" w:cs="Calibri"/>
                <w:color w:val="000000"/>
                <w:sz w:val="18"/>
                <w:szCs w:val="18"/>
                <w:lang w:eastAsia="es-CL"/>
              </w:rPr>
            </w:pPr>
            <w:r w:rsidRPr="00A142AA">
              <w:rPr>
                <w:rFonts w:ascii="gobCL" w:eastAsia="Times New Roman" w:hAnsi="gobCL" w:cs="Calibri"/>
                <w:color w:val="000000"/>
                <w:sz w:val="18"/>
                <w:szCs w:val="18"/>
                <w:lang w:eastAsia="es-CL"/>
              </w:rPr>
              <w:t>3 casos</w:t>
            </w:r>
          </w:p>
        </w:tc>
        <w:tc>
          <w:tcPr>
            <w:tcW w:w="2580" w:type="dxa"/>
            <w:shd w:val="clear" w:color="auto" w:fill="auto"/>
            <w:noWrap/>
            <w:vAlign w:val="bottom"/>
            <w:hideMark/>
          </w:tcPr>
          <w:p w14:paraId="0A2E5C34" w14:textId="5F4B9542" w:rsidR="00250374" w:rsidRPr="00A142AA" w:rsidRDefault="008F5C8A" w:rsidP="00775B97">
            <w:pPr>
              <w:spacing w:after="0"/>
              <w:ind w:left="-72"/>
              <w:jc w:val="center"/>
              <w:rPr>
                <w:rFonts w:ascii="gobCL" w:eastAsia="Times New Roman" w:hAnsi="gobCL" w:cs="Calibri"/>
                <w:color w:val="000000"/>
                <w:sz w:val="18"/>
                <w:szCs w:val="18"/>
                <w:lang w:eastAsia="es-CL"/>
              </w:rPr>
            </w:pPr>
            <w:r>
              <w:rPr>
                <w:rFonts w:ascii="gobCL" w:eastAsia="Times New Roman" w:hAnsi="gobCL" w:cs="Calibri"/>
                <w:color w:val="000000"/>
                <w:sz w:val="18"/>
                <w:szCs w:val="18"/>
                <w:lang w:eastAsia="es-CL"/>
              </w:rPr>
              <w:t>39</w:t>
            </w:r>
          </w:p>
        </w:tc>
      </w:tr>
      <w:tr w:rsidR="00250374" w:rsidRPr="00A142AA" w14:paraId="58D2C6B7" w14:textId="77777777" w:rsidTr="00775B97">
        <w:trPr>
          <w:trHeight w:val="288"/>
        </w:trPr>
        <w:tc>
          <w:tcPr>
            <w:tcW w:w="1960" w:type="dxa"/>
            <w:shd w:val="clear" w:color="auto" w:fill="auto"/>
            <w:noWrap/>
            <w:vAlign w:val="bottom"/>
            <w:hideMark/>
          </w:tcPr>
          <w:p w14:paraId="58174F61" w14:textId="77777777" w:rsidR="00250374" w:rsidRPr="00A142AA" w:rsidRDefault="00250374" w:rsidP="00775B97">
            <w:pPr>
              <w:spacing w:after="0"/>
              <w:ind w:left="-72"/>
              <w:jc w:val="center"/>
              <w:rPr>
                <w:rFonts w:ascii="gobCL" w:eastAsia="Times New Roman" w:hAnsi="gobCL" w:cs="Calibri"/>
                <w:color w:val="000000"/>
                <w:sz w:val="18"/>
                <w:szCs w:val="18"/>
                <w:lang w:eastAsia="es-CL"/>
              </w:rPr>
            </w:pPr>
            <w:r w:rsidRPr="00A142AA">
              <w:rPr>
                <w:rFonts w:ascii="gobCL" w:eastAsia="Times New Roman" w:hAnsi="gobCL" w:cs="Calibri"/>
                <w:color w:val="000000"/>
                <w:sz w:val="18"/>
                <w:szCs w:val="18"/>
                <w:lang w:eastAsia="es-CL"/>
              </w:rPr>
              <w:t>4 casos</w:t>
            </w:r>
          </w:p>
        </w:tc>
        <w:tc>
          <w:tcPr>
            <w:tcW w:w="2580" w:type="dxa"/>
            <w:shd w:val="clear" w:color="auto" w:fill="auto"/>
            <w:noWrap/>
            <w:vAlign w:val="bottom"/>
            <w:hideMark/>
          </w:tcPr>
          <w:p w14:paraId="114D2D62" w14:textId="71A9EF13" w:rsidR="00250374" w:rsidRPr="00A142AA" w:rsidRDefault="00250374" w:rsidP="00775B97">
            <w:pPr>
              <w:spacing w:after="0"/>
              <w:ind w:left="-72"/>
              <w:jc w:val="center"/>
              <w:rPr>
                <w:rFonts w:ascii="gobCL" w:eastAsia="Times New Roman" w:hAnsi="gobCL" w:cs="Calibri"/>
                <w:color w:val="000000"/>
                <w:sz w:val="18"/>
                <w:szCs w:val="18"/>
                <w:lang w:eastAsia="es-CL"/>
              </w:rPr>
            </w:pPr>
            <w:r w:rsidRPr="00A142AA">
              <w:rPr>
                <w:rFonts w:ascii="gobCL" w:eastAsia="Times New Roman" w:hAnsi="gobCL" w:cs="Calibri"/>
                <w:color w:val="000000"/>
                <w:sz w:val="18"/>
                <w:szCs w:val="18"/>
                <w:lang w:eastAsia="es-CL"/>
              </w:rPr>
              <w:t>1</w:t>
            </w:r>
            <w:r w:rsidR="008F5C8A">
              <w:rPr>
                <w:rFonts w:ascii="gobCL" w:eastAsia="Times New Roman" w:hAnsi="gobCL" w:cs="Calibri"/>
                <w:color w:val="000000"/>
                <w:sz w:val="18"/>
                <w:szCs w:val="18"/>
                <w:lang w:eastAsia="es-CL"/>
              </w:rPr>
              <w:t>2</w:t>
            </w:r>
          </w:p>
        </w:tc>
      </w:tr>
      <w:tr w:rsidR="00250374" w:rsidRPr="00A142AA" w14:paraId="7E0B04C8" w14:textId="77777777" w:rsidTr="00775B97">
        <w:trPr>
          <w:trHeight w:val="288"/>
        </w:trPr>
        <w:tc>
          <w:tcPr>
            <w:tcW w:w="1960" w:type="dxa"/>
            <w:shd w:val="clear" w:color="auto" w:fill="auto"/>
            <w:noWrap/>
            <w:vAlign w:val="bottom"/>
            <w:hideMark/>
          </w:tcPr>
          <w:p w14:paraId="291E4A93" w14:textId="77777777" w:rsidR="00250374" w:rsidRPr="00A142AA" w:rsidRDefault="00250374" w:rsidP="00775B97">
            <w:pPr>
              <w:spacing w:after="0"/>
              <w:ind w:left="-72"/>
              <w:jc w:val="center"/>
              <w:rPr>
                <w:rFonts w:ascii="gobCL" w:eastAsia="Times New Roman" w:hAnsi="gobCL" w:cs="Calibri"/>
                <w:color w:val="000000"/>
                <w:sz w:val="18"/>
                <w:szCs w:val="18"/>
                <w:lang w:eastAsia="es-CL"/>
              </w:rPr>
            </w:pPr>
            <w:r w:rsidRPr="00A142AA">
              <w:rPr>
                <w:rFonts w:ascii="gobCL" w:eastAsia="Times New Roman" w:hAnsi="gobCL" w:cs="Calibri"/>
                <w:color w:val="000000"/>
                <w:sz w:val="18"/>
                <w:szCs w:val="18"/>
                <w:lang w:eastAsia="es-CL"/>
              </w:rPr>
              <w:t>5 casos</w:t>
            </w:r>
          </w:p>
        </w:tc>
        <w:tc>
          <w:tcPr>
            <w:tcW w:w="2580" w:type="dxa"/>
            <w:shd w:val="clear" w:color="auto" w:fill="auto"/>
            <w:noWrap/>
            <w:vAlign w:val="bottom"/>
            <w:hideMark/>
          </w:tcPr>
          <w:p w14:paraId="0A1FB90E" w14:textId="4A538E52" w:rsidR="00250374" w:rsidRPr="00A142AA" w:rsidRDefault="008F5C8A" w:rsidP="00775B97">
            <w:pPr>
              <w:spacing w:after="0"/>
              <w:ind w:left="-72"/>
              <w:jc w:val="center"/>
              <w:rPr>
                <w:rFonts w:ascii="gobCL" w:eastAsia="Times New Roman" w:hAnsi="gobCL" w:cs="Calibri"/>
                <w:color w:val="000000"/>
                <w:sz w:val="18"/>
                <w:szCs w:val="18"/>
                <w:lang w:eastAsia="es-CL"/>
              </w:rPr>
            </w:pPr>
            <w:r>
              <w:rPr>
                <w:rFonts w:ascii="gobCL" w:eastAsia="Times New Roman" w:hAnsi="gobCL" w:cs="Calibri"/>
                <w:color w:val="000000"/>
                <w:sz w:val="18"/>
                <w:szCs w:val="18"/>
                <w:lang w:eastAsia="es-CL"/>
              </w:rPr>
              <w:t>15</w:t>
            </w:r>
          </w:p>
        </w:tc>
      </w:tr>
      <w:tr w:rsidR="00250374" w:rsidRPr="00A142AA" w14:paraId="7D211C00" w14:textId="77777777" w:rsidTr="00775B97">
        <w:trPr>
          <w:trHeight w:val="288"/>
        </w:trPr>
        <w:tc>
          <w:tcPr>
            <w:tcW w:w="1960" w:type="dxa"/>
            <w:tcBorders>
              <w:bottom w:val="single" w:sz="4" w:space="0" w:color="auto"/>
            </w:tcBorders>
            <w:shd w:val="clear" w:color="auto" w:fill="auto"/>
            <w:noWrap/>
            <w:vAlign w:val="bottom"/>
            <w:hideMark/>
          </w:tcPr>
          <w:p w14:paraId="07C35D6D" w14:textId="77777777" w:rsidR="00250374" w:rsidRPr="00A142AA" w:rsidRDefault="00250374" w:rsidP="00775B97">
            <w:pPr>
              <w:spacing w:after="0"/>
              <w:ind w:left="-72"/>
              <w:jc w:val="center"/>
              <w:rPr>
                <w:rFonts w:ascii="gobCL" w:eastAsia="Times New Roman" w:hAnsi="gobCL" w:cs="Calibri"/>
                <w:color w:val="000000"/>
                <w:sz w:val="18"/>
                <w:szCs w:val="18"/>
                <w:lang w:eastAsia="es-CL"/>
              </w:rPr>
            </w:pPr>
            <w:r w:rsidRPr="00A142AA">
              <w:rPr>
                <w:rFonts w:ascii="gobCL" w:eastAsia="Times New Roman" w:hAnsi="gobCL" w:cs="Calibri"/>
                <w:color w:val="000000"/>
                <w:sz w:val="18"/>
                <w:szCs w:val="18"/>
                <w:lang w:eastAsia="es-CL"/>
              </w:rPr>
              <w:t>&gt; 5 casos</w:t>
            </w:r>
          </w:p>
        </w:tc>
        <w:tc>
          <w:tcPr>
            <w:tcW w:w="2580" w:type="dxa"/>
            <w:tcBorders>
              <w:bottom w:val="single" w:sz="4" w:space="0" w:color="auto"/>
            </w:tcBorders>
            <w:shd w:val="clear" w:color="auto" w:fill="auto"/>
            <w:noWrap/>
            <w:vAlign w:val="bottom"/>
            <w:hideMark/>
          </w:tcPr>
          <w:p w14:paraId="6CE3E04F" w14:textId="0287B98F" w:rsidR="00250374" w:rsidRPr="00A142AA" w:rsidRDefault="00250374" w:rsidP="00775B97">
            <w:pPr>
              <w:spacing w:after="0"/>
              <w:ind w:left="-72"/>
              <w:jc w:val="center"/>
              <w:rPr>
                <w:rFonts w:ascii="gobCL" w:eastAsia="Times New Roman" w:hAnsi="gobCL" w:cs="Calibri"/>
                <w:color w:val="000000"/>
                <w:sz w:val="18"/>
                <w:szCs w:val="18"/>
                <w:lang w:eastAsia="es-CL"/>
              </w:rPr>
            </w:pPr>
            <w:r w:rsidRPr="00A142AA">
              <w:rPr>
                <w:rFonts w:ascii="gobCL" w:eastAsia="Times New Roman" w:hAnsi="gobCL" w:cs="Calibri"/>
                <w:color w:val="000000"/>
                <w:sz w:val="18"/>
                <w:szCs w:val="18"/>
                <w:lang w:eastAsia="es-CL"/>
              </w:rPr>
              <w:t>1</w:t>
            </w:r>
            <w:r w:rsidR="008F5C8A">
              <w:rPr>
                <w:rFonts w:ascii="gobCL" w:eastAsia="Times New Roman" w:hAnsi="gobCL" w:cs="Calibri"/>
                <w:color w:val="000000"/>
                <w:sz w:val="18"/>
                <w:szCs w:val="18"/>
                <w:lang w:eastAsia="es-CL"/>
              </w:rPr>
              <w:t>4</w:t>
            </w:r>
          </w:p>
        </w:tc>
      </w:tr>
      <w:tr w:rsidR="00250374" w:rsidRPr="00A142AA" w14:paraId="2F1B2D44" w14:textId="77777777" w:rsidTr="00775B97">
        <w:trPr>
          <w:trHeight w:val="288"/>
        </w:trPr>
        <w:tc>
          <w:tcPr>
            <w:tcW w:w="1960" w:type="dxa"/>
            <w:tcBorders>
              <w:top w:val="single" w:sz="4" w:space="0" w:color="auto"/>
              <w:bottom w:val="single" w:sz="4" w:space="0" w:color="auto"/>
            </w:tcBorders>
            <w:shd w:val="clear" w:color="auto" w:fill="auto"/>
            <w:noWrap/>
            <w:vAlign w:val="bottom"/>
            <w:hideMark/>
          </w:tcPr>
          <w:p w14:paraId="7A3C1C04" w14:textId="77777777" w:rsidR="00250374" w:rsidRPr="00A142AA" w:rsidRDefault="00250374"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Total general</w:t>
            </w:r>
          </w:p>
        </w:tc>
        <w:tc>
          <w:tcPr>
            <w:tcW w:w="2580" w:type="dxa"/>
            <w:tcBorders>
              <w:top w:val="single" w:sz="4" w:space="0" w:color="auto"/>
              <w:bottom w:val="single" w:sz="4" w:space="0" w:color="auto"/>
            </w:tcBorders>
            <w:shd w:val="clear" w:color="auto" w:fill="auto"/>
            <w:noWrap/>
            <w:vAlign w:val="bottom"/>
            <w:hideMark/>
          </w:tcPr>
          <w:p w14:paraId="6F0BB492" w14:textId="3C49BF65" w:rsidR="00250374" w:rsidRPr="00A142AA" w:rsidRDefault="008F5C8A" w:rsidP="00775B97">
            <w:pPr>
              <w:spacing w:after="0"/>
              <w:ind w:left="-72"/>
              <w:jc w:val="center"/>
              <w:rPr>
                <w:rFonts w:ascii="gobCL" w:eastAsia="Times New Roman" w:hAnsi="gobCL" w:cs="Calibri"/>
                <w:b/>
                <w:bCs/>
                <w:color w:val="000000"/>
                <w:sz w:val="18"/>
                <w:szCs w:val="18"/>
                <w:lang w:eastAsia="es-CL"/>
              </w:rPr>
            </w:pPr>
            <w:r>
              <w:rPr>
                <w:rFonts w:ascii="gobCL" w:eastAsia="Times New Roman" w:hAnsi="gobCL" w:cs="Calibri"/>
                <w:b/>
                <w:bCs/>
                <w:color w:val="000000"/>
                <w:sz w:val="18"/>
                <w:szCs w:val="18"/>
                <w:lang w:eastAsia="es-CL"/>
              </w:rPr>
              <w:t>212</w:t>
            </w:r>
          </w:p>
        </w:tc>
      </w:tr>
    </w:tbl>
    <w:p w14:paraId="7B9D3369" w14:textId="0CFE2957" w:rsidR="00250374" w:rsidRDefault="00250374" w:rsidP="00C65408">
      <w:pPr>
        <w:spacing w:after="0" w:line="360" w:lineRule="auto"/>
        <w:rPr>
          <w:rFonts w:cstheme="minorHAnsi"/>
          <w:i/>
          <w:iCs/>
          <w:sz w:val="16"/>
          <w:szCs w:val="16"/>
        </w:rPr>
      </w:pPr>
    </w:p>
    <w:p w14:paraId="33ACB86A" w14:textId="77777777" w:rsidR="00C65408" w:rsidRPr="00EA3360" w:rsidRDefault="00C65408" w:rsidP="00C65408">
      <w:pPr>
        <w:spacing w:after="0"/>
        <w:rPr>
          <w:rFonts w:ascii="gobCL" w:hAnsi="gobCL"/>
          <w:sz w:val="18"/>
          <w:szCs w:val="18"/>
        </w:rPr>
      </w:pPr>
      <w:r w:rsidRPr="00EA3360">
        <w:rPr>
          <w:rFonts w:ascii="gobCL" w:hAnsi="gobCL"/>
          <w:sz w:val="18"/>
          <w:szCs w:val="18"/>
        </w:rPr>
        <w:t>Fuente: Departamento de Epidemiología. Ministerio de Salud de Chile.</w:t>
      </w:r>
    </w:p>
    <w:p w14:paraId="042B9061" w14:textId="77777777" w:rsidR="00C65408" w:rsidRPr="00EA3360" w:rsidRDefault="00C65408" w:rsidP="00C65408">
      <w:pPr>
        <w:spacing w:after="0"/>
        <w:rPr>
          <w:rFonts w:ascii="gobCL" w:hAnsi="gobCL"/>
          <w:sz w:val="18"/>
          <w:szCs w:val="18"/>
        </w:rPr>
      </w:pPr>
      <w:r w:rsidRPr="00EA3360">
        <w:rPr>
          <w:rFonts w:ascii="gobCL" w:hAnsi="gobCL"/>
          <w:sz w:val="18"/>
          <w:szCs w:val="18"/>
        </w:rPr>
        <w:t>Datos provisorios en proceso de validación.</w:t>
      </w:r>
    </w:p>
    <w:p w14:paraId="0D849DF7" w14:textId="77777777" w:rsidR="00C65408" w:rsidRDefault="00C65408" w:rsidP="00C65408">
      <w:pPr>
        <w:spacing w:after="0" w:line="360" w:lineRule="auto"/>
        <w:rPr>
          <w:rFonts w:ascii="gobCL" w:hAnsi="gobCL"/>
          <w:b/>
          <w:bCs/>
          <w:sz w:val="24"/>
          <w:szCs w:val="24"/>
        </w:rPr>
      </w:pPr>
    </w:p>
    <w:p w14:paraId="6C843F2F" w14:textId="77777777" w:rsidR="00250374" w:rsidRDefault="00250374" w:rsidP="00250374">
      <w:pPr>
        <w:spacing w:after="0" w:line="360" w:lineRule="auto"/>
        <w:jc w:val="center"/>
        <w:rPr>
          <w:rFonts w:ascii="gobCL" w:hAnsi="gobCL"/>
          <w:b/>
          <w:bCs/>
          <w:sz w:val="24"/>
          <w:szCs w:val="24"/>
        </w:rPr>
      </w:pPr>
    </w:p>
    <w:p w14:paraId="409996A5" w14:textId="77777777" w:rsidR="00250374" w:rsidRDefault="00250374" w:rsidP="00250374">
      <w:pPr>
        <w:spacing w:after="0" w:line="360" w:lineRule="auto"/>
        <w:jc w:val="center"/>
        <w:rPr>
          <w:rFonts w:ascii="gobCL" w:hAnsi="gobCL"/>
          <w:b/>
          <w:bCs/>
          <w:sz w:val="24"/>
          <w:szCs w:val="24"/>
        </w:rPr>
      </w:pPr>
    </w:p>
    <w:p w14:paraId="0F2677CB" w14:textId="77777777" w:rsidR="00250374" w:rsidRDefault="00250374" w:rsidP="00250374">
      <w:pPr>
        <w:spacing w:after="0" w:line="360" w:lineRule="auto"/>
        <w:jc w:val="center"/>
        <w:rPr>
          <w:rFonts w:ascii="gobCL" w:hAnsi="gobCL"/>
          <w:b/>
          <w:bCs/>
          <w:sz w:val="24"/>
          <w:szCs w:val="24"/>
        </w:rPr>
      </w:pPr>
    </w:p>
    <w:p w14:paraId="7420319C" w14:textId="77777777" w:rsidR="00250374" w:rsidRDefault="00250374" w:rsidP="00250374">
      <w:pPr>
        <w:spacing w:after="0" w:line="360" w:lineRule="auto"/>
        <w:jc w:val="center"/>
        <w:rPr>
          <w:rFonts w:ascii="gobCL" w:hAnsi="gobCL"/>
          <w:b/>
          <w:bCs/>
          <w:sz w:val="24"/>
          <w:szCs w:val="24"/>
        </w:rPr>
      </w:pPr>
    </w:p>
    <w:p w14:paraId="5C38B1A5" w14:textId="77777777" w:rsidR="00250374" w:rsidRDefault="00250374" w:rsidP="00250374">
      <w:pPr>
        <w:spacing w:after="0" w:line="360" w:lineRule="auto"/>
        <w:jc w:val="center"/>
        <w:rPr>
          <w:rFonts w:ascii="gobCL" w:hAnsi="gobCL"/>
          <w:b/>
          <w:bCs/>
          <w:sz w:val="24"/>
          <w:szCs w:val="24"/>
        </w:rPr>
      </w:pPr>
    </w:p>
    <w:p w14:paraId="5D68CF1D" w14:textId="077C40CD" w:rsidR="00250374" w:rsidRDefault="00250374" w:rsidP="00250374">
      <w:pPr>
        <w:spacing w:after="0" w:line="360" w:lineRule="auto"/>
        <w:jc w:val="center"/>
        <w:rPr>
          <w:rFonts w:ascii="gobCL" w:hAnsi="gobCL"/>
          <w:b/>
          <w:bCs/>
          <w:sz w:val="24"/>
          <w:szCs w:val="24"/>
        </w:rPr>
      </w:pPr>
    </w:p>
    <w:p w14:paraId="44CEBE75" w14:textId="4A6D5B01" w:rsidR="00D20232" w:rsidRDefault="00D20232" w:rsidP="00250374">
      <w:pPr>
        <w:spacing w:after="0" w:line="360" w:lineRule="auto"/>
        <w:jc w:val="center"/>
        <w:rPr>
          <w:rFonts w:ascii="gobCL" w:hAnsi="gobCL"/>
          <w:b/>
          <w:bCs/>
          <w:sz w:val="24"/>
          <w:szCs w:val="24"/>
        </w:rPr>
      </w:pPr>
    </w:p>
    <w:p w14:paraId="604920A9" w14:textId="7076D16D" w:rsidR="00D20232" w:rsidRDefault="00D20232" w:rsidP="00250374">
      <w:pPr>
        <w:spacing w:after="0" w:line="360" w:lineRule="auto"/>
        <w:jc w:val="center"/>
        <w:rPr>
          <w:rFonts w:ascii="gobCL" w:hAnsi="gobCL"/>
          <w:b/>
          <w:bCs/>
          <w:sz w:val="24"/>
          <w:szCs w:val="24"/>
        </w:rPr>
      </w:pPr>
    </w:p>
    <w:p w14:paraId="194D413B" w14:textId="43CC2703" w:rsidR="00D20232" w:rsidRDefault="00D20232" w:rsidP="00250374">
      <w:pPr>
        <w:spacing w:after="0" w:line="360" w:lineRule="auto"/>
        <w:jc w:val="center"/>
        <w:rPr>
          <w:rFonts w:ascii="gobCL" w:hAnsi="gobCL"/>
          <w:b/>
          <w:bCs/>
          <w:sz w:val="24"/>
          <w:szCs w:val="24"/>
        </w:rPr>
      </w:pPr>
    </w:p>
    <w:p w14:paraId="0A0168DF" w14:textId="7320F120" w:rsidR="00D20232" w:rsidRDefault="00D20232" w:rsidP="00250374">
      <w:pPr>
        <w:spacing w:after="0" w:line="360" w:lineRule="auto"/>
        <w:jc w:val="center"/>
        <w:rPr>
          <w:rFonts w:ascii="gobCL" w:hAnsi="gobCL"/>
          <w:b/>
          <w:bCs/>
          <w:sz w:val="24"/>
          <w:szCs w:val="24"/>
        </w:rPr>
      </w:pPr>
    </w:p>
    <w:p w14:paraId="51CF48B8" w14:textId="18258A7F" w:rsidR="00D20232" w:rsidRDefault="00D20232" w:rsidP="00250374">
      <w:pPr>
        <w:spacing w:after="0" w:line="360" w:lineRule="auto"/>
        <w:jc w:val="center"/>
        <w:rPr>
          <w:rFonts w:ascii="gobCL" w:hAnsi="gobCL"/>
          <w:b/>
          <w:bCs/>
          <w:sz w:val="24"/>
          <w:szCs w:val="24"/>
        </w:rPr>
      </w:pPr>
    </w:p>
    <w:p w14:paraId="733EE0D5" w14:textId="4E443C25" w:rsidR="00D20232" w:rsidRDefault="00D20232" w:rsidP="00250374">
      <w:pPr>
        <w:spacing w:after="0" w:line="360" w:lineRule="auto"/>
        <w:jc w:val="center"/>
        <w:rPr>
          <w:rFonts w:ascii="gobCL" w:hAnsi="gobCL"/>
          <w:b/>
          <w:bCs/>
          <w:sz w:val="24"/>
          <w:szCs w:val="24"/>
        </w:rPr>
      </w:pPr>
    </w:p>
    <w:p w14:paraId="2AC43F85" w14:textId="45C59042" w:rsidR="00D20232" w:rsidRDefault="00D20232" w:rsidP="00250374">
      <w:pPr>
        <w:spacing w:after="0" w:line="360" w:lineRule="auto"/>
        <w:jc w:val="center"/>
        <w:rPr>
          <w:rFonts w:ascii="gobCL" w:hAnsi="gobCL"/>
          <w:b/>
          <w:bCs/>
          <w:sz w:val="24"/>
          <w:szCs w:val="24"/>
        </w:rPr>
      </w:pPr>
    </w:p>
    <w:p w14:paraId="473BFDA2" w14:textId="637DF888" w:rsidR="00D20232" w:rsidRDefault="00D20232" w:rsidP="00250374">
      <w:pPr>
        <w:spacing w:after="0" w:line="360" w:lineRule="auto"/>
        <w:jc w:val="center"/>
        <w:rPr>
          <w:rFonts w:ascii="gobCL" w:hAnsi="gobCL"/>
          <w:b/>
          <w:bCs/>
          <w:sz w:val="24"/>
          <w:szCs w:val="24"/>
        </w:rPr>
      </w:pPr>
    </w:p>
    <w:p w14:paraId="14D4F5A0" w14:textId="77777777" w:rsidR="00D20232" w:rsidRDefault="00D20232" w:rsidP="00250374">
      <w:pPr>
        <w:spacing w:after="0" w:line="360" w:lineRule="auto"/>
        <w:jc w:val="center"/>
        <w:rPr>
          <w:rFonts w:ascii="gobCL" w:hAnsi="gobCL"/>
          <w:b/>
          <w:bCs/>
          <w:sz w:val="24"/>
          <w:szCs w:val="24"/>
        </w:rPr>
      </w:pPr>
    </w:p>
    <w:p w14:paraId="26AD4802" w14:textId="77777777" w:rsidR="00250374" w:rsidRDefault="00250374" w:rsidP="00250374">
      <w:pPr>
        <w:spacing w:after="0" w:line="360" w:lineRule="auto"/>
        <w:jc w:val="center"/>
        <w:rPr>
          <w:rFonts w:ascii="gobCL" w:hAnsi="gobCL"/>
          <w:b/>
          <w:bCs/>
          <w:sz w:val="24"/>
          <w:szCs w:val="24"/>
        </w:rPr>
      </w:pPr>
    </w:p>
    <w:p w14:paraId="58CA2ED1" w14:textId="46BEB610" w:rsidR="00250374" w:rsidRPr="00B857F0" w:rsidRDefault="00250374" w:rsidP="00250374">
      <w:pPr>
        <w:spacing w:after="0" w:line="360" w:lineRule="auto"/>
        <w:jc w:val="center"/>
        <w:rPr>
          <w:rFonts w:ascii="gobCL" w:hAnsi="gobCL"/>
          <w:sz w:val="24"/>
          <w:szCs w:val="24"/>
        </w:rPr>
      </w:pPr>
      <w:r w:rsidRPr="00B857F0">
        <w:rPr>
          <w:rFonts w:ascii="gobCL" w:hAnsi="gobCL"/>
          <w:b/>
          <w:bCs/>
          <w:sz w:val="24"/>
          <w:szCs w:val="24"/>
        </w:rPr>
        <w:lastRenderedPageBreak/>
        <w:t xml:space="preserve">Figura </w:t>
      </w:r>
      <w:r>
        <w:rPr>
          <w:rFonts w:ascii="gobCL" w:hAnsi="gobCL"/>
          <w:b/>
          <w:bCs/>
          <w:sz w:val="24"/>
          <w:szCs w:val="24"/>
        </w:rPr>
        <w:t>6</w:t>
      </w:r>
      <w:r w:rsidRPr="00B857F0">
        <w:rPr>
          <w:rFonts w:ascii="gobCL" w:hAnsi="gobCL"/>
          <w:b/>
          <w:bCs/>
          <w:sz w:val="24"/>
          <w:szCs w:val="24"/>
        </w:rPr>
        <w:t xml:space="preserve">: </w:t>
      </w:r>
      <w:r w:rsidRPr="009E1A44">
        <w:rPr>
          <w:rFonts w:ascii="gobCL" w:hAnsi="gobCL"/>
          <w:b/>
          <w:bCs/>
          <w:sz w:val="24"/>
          <w:szCs w:val="24"/>
        </w:rPr>
        <w:t>Representación gráfica de brotes y conglomerados de casos confirmados y probables de Viruela del Mono en Chile</w:t>
      </w:r>
      <w:r>
        <w:rPr>
          <w:rFonts w:ascii="gobCL" w:hAnsi="gobCL"/>
          <w:b/>
          <w:bCs/>
          <w:sz w:val="24"/>
          <w:szCs w:val="24"/>
        </w:rPr>
        <w:t>,</w:t>
      </w:r>
      <w:r w:rsidRPr="009E1A44">
        <w:rPr>
          <w:rFonts w:ascii="gobCL" w:hAnsi="gobCL"/>
          <w:b/>
          <w:bCs/>
          <w:sz w:val="24"/>
          <w:szCs w:val="24"/>
        </w:rPr>
        <w:t xml:space="preserve"> al </w:t>
      </w:r>
      <w:r>
        <w:rPr>
          <w:rFonts w:ascii="gobCL" w:hAnsi="gobCL"/>
          <w:b/>
          <w:bCs/>
          <w:sz w:val="24"/>
          <w:szCs w:val="24"/>
        </w:rPr>
        <w:t>06 de octubre</w:t>
      </w:r>
      <w:r w:rsidRPr="009E1A44">
        <w:rPr>
          <w:rFonts w:ascii="gobCL" w:hAnsi="gobCL"/>
          <w:b/>
          <w:bCs/>
          <w:sz w:val="24"/>
          <w:szCs w:val="24"/>
        </w:rPr>
        <w:t xml:space="preserve"> de 2022.</w:t>
      </w:r>
    </w:p>
    <w:p w14:paraId="5F72E283" w14:textId="4D2FE12F" w:rsidR="00250374" w:rsidRDefault="0034560F" w:rsidP="00250374">
      <w:pPr>
        <w:spacing w:after="0" w:line="360" w:lineRule="auto"/>
        <w:jc w:val="both"/>
        <w:rPr>
          <w:rFonts w:ascii="gobCL" w:hAnsi="gobCL"/>
        </w:rPr>
      </w:pPr>
      <w:r>
        <w:rPr>
          <w:noProof/>
          <w:lang w:eastAsia="es-CL"/>
        </w:rPr>
        <w:drawing>
          <wp:inline distT="0" distB="0" distL="0" distR="0" wp14:anchorId="40DEA3B6" wp14:editId="58A2E1C1">
            <wp:extent cx="6384898" cy="359188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5910" cy="3598075"/>
                    </a:xfrm>
                    <a:prstGeom prst="rect">
                      <a:avLst/>
                    </a:prstGeom>
                  </pic:spPr>
                </pic:pic>
              </a:graphicData>
            </a:graphic>
          </wp:inline>
        </w:drawing>
      </w:r>
    </w:p>
    <w:p w14:paraId="5568AC95" w14:textId="740A8C58" w:rsidR="00250374" w:rsidRDefault="0034560F" w:rsidP="00250374">
      <w:pPr>
        <w:tabs>
          <w:tab w:val="left" w:pos="993"/>
        </w:tabs>
        <w:spacing w:after="0" w:line="360" w:lineRule="auto"/>
        <w:jc w:val="both"/>
        <w:rPr>
          <w:rFonts w:ascii="gobCL" w:hAnsi="gobCL"/>
        </w:rPr>
      </w:pPr>
      <w:r>
        <w:rPr>
          <w:noProof/>
          <w:lang w:eastAsia="es-CL"/>
        </w:rPr>
        <w:drawing>
          <wp:inline distT="0" distB="0" distL="0" distR="0" wp14:anchorId="53B6EEF3" wp14:editId="446F28EA">
            <wp:extent cx="6388648" cy="359399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7398" cy="3604538"/>
                    </a:xfrm>
                    <a:prstGeom prst="rect">
                      <a:avLst/>
                    </a:prstGeom>
                  </pic:spPr>
                </pic:pic>
              </a:graphicData>
            </a:graphic>
          </wp:inline>
        </w:drawing>
      </w:r>
    </w:p>
    <w:p w14:paraId="2BB1A6AC" w14:textId="246C672F" w:rsidR="00250374" w:rsidRDefault="0034560F" w:rsidP="00250374">
      <w:pPr>
        <w:tabs>
          <w:tab w:val="left" w:pos="993"/>
        </w:tabs>
        <w:spacing w:after="0" w:line="360" w:lineRule="auto"/>
        <w:jc w:val="both"/>
        <w:rPr>
          <w:rFonts w:ascii="gobCL" w:hAnsi="gobCL"/>
        </w:rPr>
      </w:pPr>
      <w:r>
        <w:rPr>
          <w:noProof/>
          <w:lang w:eastAsia="es-CL"/>
        </w:rPr>
        <w:lastRenderedPageBreak/>
        <w:drawing>
          <wp:inline distT="0" distB="0" distL="0" distR="0" wp14:anchorId="6DBF4007" wp14:editId="48A719E3">
            <wp:extent cx="6384898" cy="294618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7976"/>
                    <a:stretch/>
                  </pic:blipFill>
                  <pic:spPr bwMode="auto">
                    <a:xfrm>
                      <a:off x="0" y="0"/>
                      <a:ext cx="6398071" cy="2952262"/>
                    </a:xfrm>
                    <a:prstGeom prst="rect">
                      <a:avLst/>
                    </a:prstGeom>
                    <a:ln>
                      <a:noFill/>
                    </a:ln>
                    <a:extLst>
                      <a:ext uri="{53640926-AAD7-44D8-BBD7-CCE9431645EC}">
                        <a14:shadowObscured xmlns:a14="http://schemas.microsoft.com/office/drawing/2010/main"/>
                      </a:ext>
                    </a:extLst>
                  </pic:spPr>
                </pic:pic>
              </a:graphicData>
            </a:graphic>
          </wp:inline>
        </w:drawing>
      </w:r>
    </w:p>
    <w:p w14:paraId="259FEAD6" w14:textId="7EE4B344" w:rsidR="00FD630A" w:rsidRDefault="00FD630A" w:rsidP="00250374">
      <w:pPr>
        <w:spacing w:after="0" w:line="360" w:lineRule="auto"/>
        <w:jc w:val="both"/>
        <w:rPr>
          <w:rFonts w:ascii="gobCL" w:hAnsi="gobCL"/>
          <w:i/>
          <w:iCs/>
          <w:sz w:val="18"/>
          <w:szCs w:val="18"/>
        </w:rPr>
      </w:pPr>
      <w:r>
        <w:rPr>
          <w:noProof/>
          <w:lang w:eastAsia="es-CL"/>
        </w:rPr>
        <w:drawing>
          <wp:inline distT="0" distB="0" distL="0" distR="0" wp14:anchorId="6294AE51" wp14:editId="0BEF8597">
            <wp:extent cx="6400800" cy="29920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b="16899"/>
                    <a:stretch/>
                  </pic:blipFill>
                  <pic:spPr bwMode="auto">
                    <a:xfrm>
                      <a:off x="0" y="0"/>
                      <a:ext cx="6400800" cy="2992010"/>
                    </a:xfrm>
                    <a:prstGeom prst="rect">
                      <a:avLst/>
                    </a:prstGeom>
                    <a:noFill/>
                    <a:ln>
                      <a:noFill/>
                    </a:ln>
                    <a:extLst>
                      <a:ext uri="{53640926-AAD7-44D8-BBD7-CCE9431645EC}">
                        <a14:shadowObscured xmlns:a14="http://schemas.microsoft.com/office/drawing/2010/main"/>
                      </a:ext>
                    </a:extLst>
                  </pic:spPr>
                </pic:pic>
              </a:graphicData>
            </a:graphic>
          </wp:inline>
        </w:drawing>
      </w:r>
    </w:p>
    <w:p w14:paraId="5953E674" w14:textId="77777777" w:rsidR="00250374" w:rsidRPr="002E4D0C" w:rsidRDefault="00250374" w:rsidP="00250374">
      <w:pPr>
        <w:spacing w:after="0" w:line="360" w:lineRule="auto"/>
        <w:jc w:val="both"/>
        <w:rPr>
          <w:rFonts w:ascii="gobCL" w:hAnsi="gobCL"/>
          <w:i/>
          <w:iCs/>
        </w:rPr>
      </w:pPr>
      <w:r w:rsidRPr="002E4D0C">
        <w:rPr>
          <w:rFonts w:ascii="gobCL" w:hAnsi="gobCL"/>
          <w:i/>
          <w:iCs/>
          <w:sz w:val="18"/>
          <w:szCs w:val="18"/>
        </w:rPr>
        <w:t>Fuente: Departamento de Epidemiología. Ministerio de Salud de Chile.</w:t>
      </w:r>
    </w:p>
    <w:p w14:paraId="02BCE568" w14:textId="77777777" w:rsidR="00250374" w:rsidRPr="002E4D0C" w:rsidRDefault="00250374" w:rsidP="00250374">
      <w:pPr>
        <w:spacing w:after="0"/>
        <w:rPr>
          <w:rFonts w:ascii="gobCL" w:hAnsi="gobCL"/>
          <w:i/>
          <w:iCs/>
          <w:sz w:val="18"/>
          <w:szCs w:val="18"/>
        </w:rPr>
      </w:pPr>
      <w:r w:rsidRPr="002E4D0C">
        <w:rPr>
          <w:rFonts w:ascii="gobCL" w:hAnsi="gobCL"/>
          <w:i/>
          <w:iCs/>
          <w:sz w:val="18"/>
          <w:szCs w:val="18"/>
        </w:rPr>
        <w:t>Datos provisorios en proceso de validación.</w:t>
      </w:r>
    </w:p>
    <w:p w14:paraId="23B98486" w14:textId="77777777" w:rsidR="00250374" w:rsidRDefault="00250374" w:rsidP="00250374">
      <w:pPr>
        <w:rPr>
          <w:lang w:eastAsia="es-CL"/>
        </w:rPr>
      </w:pPr>
    </w:p>
    <w:p w14:paraId="65297A59" w14:textId="48DFC7B4" w:rsidR="00250374" w:rsidRDefault="00250374" w:rsidP="00250374">
      <w:pPr>
        <w:spacing w:after="0" w:line="360" w:lineRule="auto"/>
        <w:jc w:val="both"/>
        <w:rPr>
          <w:rFonts w:ascii="gobCL" w:hAnsi="gobCL"/>
          <w:bCs/>
        </w:rPr>
      </w:pPr>
    </w:p>
    <w:p w14:paraId="4BFD104B" w14:textId="4666E729" w:rsidR="00D20232" w:rsidRDefault="00D20232" w:rsidP="00250374">
      <w:pPr>
        <w:spacing w:after="0" w:line="360" w:lineRule="auto"/>
        <w:jc w:val="both"/>
        <w:rPr>
          <w:rFonts w:ascii="gobCL" w:hAnsi="gobCL"/>
          <w:bCs/>
        </w:rPr>
      </w:pPr>
    </w:p>
    <w:p w14:paraId="74BEE888" w14:textId="5AEBA509" w:rsidR="00D20232" w:rsidRDefault="00D20232" w:rsidP="00250374">
      <w:pPr>
        <w:spacing w:after="0" w:line="360" w:lineRule="auto"/>
        <w:jc w:val="both"/>
        <w:rPr>
          <w:rFonts w:ascii="gobCL" w:hAnsi="gobCL"/>
          <w:bCs/>
        </w:rPr>
      </w:pPr>
    </w:p>
    <w:p w14:paraId="1D273F63" w14:textId="05B768C6" w:rsidR="00D20232" w:rsidRDefault="00D20232" w:rsidP="00250374">
      <w:pPr>
        <w:spacing w:after="0" w:line="360" w:lineRule="auto"/>
        <w:jc w:val="both"/>
        <w:rPr>
          <w:rFonts w:ascii="gobCL" w:hAnsi="gobCL"/>
          <w:bCs/>
        </w:rPr>
      </w:pPr>
    </w:p>
    <w:p w14:paraId="683B230F" w14:textId="77777777" w:rsidR="00D20232" w:rsidRDefault="00D20232" w:rsidP="00250374">
      <w:pPr>
        <w:spacing w:after="0" w:line="360" w:lineRule="auto"/>
        <w:jc w:val="both"/>
        <w:rPr>
          <w:rFonts w:ascii="gobCL" w:hAnsi="gobCL"/>
          <w:bCs/>
        </w:rPr>
      </w:pPr>
    </w:p>
    <w:p w14:paraId="6B7DC69E" w14:textId="413C46FF" w:rsidR="001C0355" w:rsidRDefault="00250374" w:rsidP="001C0355">
      <w:pPr>
        <w:spacing w:after="0" w:line="360" w:lineRule="auto"/>
        <w:jc w:val="both"/>
        <w:rPr>
          <w:rFonts w:ascii="gobCL" w:hAnsi="gobCL"/>
          <w:bCs/>
        </w:rPr>
      </w:pPr>
      <w:r w:rsidRPr="004613F8">
        <w:rPr>
          <w:rFonts w:ascii="gobCL" w:hAnsi="gobCL"/>
          <w:bCs/>
        </w:rPr>
        <w:lastRenderedPageBreak/>
        <w:t xml:space="preserve">Entre los brotes más importantes destacan los siguientes: </w:t>
      </w:r>
    </w:p>
    <w:p w14:paraId="407C6EAB" w14:textId="77777777" w:rsidR="00DE07A1" w:rsidRPr="004613F8" w:rsidRDefault="00DE07A1" w:rsidP="001C0355">
      <w:pPr>
        <w:spacing w:after="0" w:line="360" w:lineRule="auto"/>
        <w:jc w:val="both"/>
        <w:rPr>
          <w:rFonts w:ascii="gobCL" w:hAnsi="gobCL"/>
          <w:bCs/>
        </w:rPr>
      </w:pPr>
    </w:p>
    <w:p w14:paraId="53399887" w14:textId="77777777" w:rsidR="001C0355" w:rsidRDefault="001C0355" w:rsidP="001C0355">
      <w:pPr>
        <w:pStyle w:val="Prrafodelista"/>
        <w:numPr>
          <w:ilvl w:val="0"/>
          <w:numId w:val="6"/>
        </w:numPr>
        <w:spacing w:after="0" w:line="360" w:lineRule="auto"/>
        <w:jc w:val="both"/>
        <w:rPr>
          <w:rFonts w:ascii="gobCL" w:hAnsi="gobCL"/>
          <w:bCs/>
        </w:rPr>
      </w:pPr>
      <w:r w:rsidRPr="00B407DF">
        <w:rPr>
          <w:rFonts w:ascii="gobCL" w:hAnsi="gobCL"/>
          <w:b/>
        </w:rPr>
        <w:t>Brote 15, Figura 6:</w:t>
      </w:r>
      <w:r w:rsidRPr="00B407DF">
        <w:rPr>
          <w:rFonts w:ascii="gobCL" w:hAnsi="gobCL"/>
          <w:bCs/>
        </w:rPr>
        <w:t xml:space="preserve"> </w:t>
      </w:r>
      <w:r>
        <w:rPr>
          <w:rFonts w:ascii="gobCL" w:hAnsi="gobCL"/>
          <w:bCs/>
        </w:rPr>
        <w:t>A</w:t>
      </w:r>
      <w:r w:rsidRPr="004613F8">
        <w:rPr>
          <w:rFonts w:ascii="gobCL" w:hAnsi="gobCL"/>
          <w:bCs/>
        </w:rPr>
        <w:t xml:space="preserve">sociado a </w:t>
      </w:r>
      <w:r>
        <w:rPr>
          <w:rFonts w:ascii="gobCL" w:hAnsi="gobCL"/>
          <w:bCs/>
        </w:rPr>
        <w:t xml:space="preserve">una </w:t>
      </w:r>
      <w:r w:rsidRPr="004613F8">
        <w:rPr>
          <w:rFonts w:ascii="gobCL" w:hAnsi="gobCL"/>
          <w:bCs/>
        </w:rPr>
        <w:t>fiesta celebrada en la región de Valparaíso en el que se han reportado 8 casos confirmados entre los asistentes al evento. Los casos residen en las regiones de Valparaíso (3 casos), RM (4 casos) y Ñuble (1 caso</w:t>
      </w:r>
      <w:r>
        <w:rPr>
          <w:rFonts w:ascii="gobCL" w:hAnsi="gobCL"/>
          <w:bCs/>
        </w:rPr>
        <w:t>)</w:t>
      </w:r>
      <w:r w:rsidRPr="004613F8">
        <w:rPr>
          <w:rFonts w:ascii="gobCL" w:hAnsi="gobCL"/>
          <w:bCs/>
        </w:rPr>
        <w:t>. La totalidad de los casos son hombres, sintomáticos y confirmados por PCR</w:t>
      </w:r>
      <w:r>
        <w:rPr>
          <w:rFonts w:ascii="gobCL" w:hAnsi="gobCL"/>
          <w:bCs/>
        </w:rPr>
        <w:t xml:space="preserve"> y la exposición identificada se atribuyó a </w:t>
      </w:r>
      <w:r w:rsidRPr="004613F8">
        <w:rPr>
          <w:rFonts w:ascii="gobCL" w:hAnsi="gobCL"/>
          <w:bCs/>
        </w:rPr>
        <w:t>contacto físico entre sí al bailar con torsos desnudos, compartir utensilios y ropa</w:t>
      </w:r>
      <w:r>
        <w:rPr>
          <w:rFonts w:ascii="gobCL" w:hAnsi="gobCL"/>
          <w:bCs/>
        </w:rPr>
        <w:t>.</w:t>
      </w:r>
    </w:p>
    <w:p w14:paraId="639D5A11" w14:textId="77777777" w:rsidR="001C0355" w:rsidRPr="00B407DF" w:rsidRDefault="001C0355" w:rsidP="001C0355">
      <w:pPr>
        <w:pStyle w:val="Prrafodelista"/>
        <w:numPr>
          <w:ilvl w:val="0"/>
          <w:numId w:val="6"/>
        </w:numPr>
        <w:spacing w:after="0" w:line="360" w:lineRule="auto"/>
        <w:jc w:val="both"/>
        <w:rPr>
          <w:rFonts w:ascii="gobCL" w:hAnsi="gobCL"/>
          <w:bCs/>
        </w:rPr>
      </w:pPr>
      <w:r w:rsidRPr="00B407DF">
        <w:rPr>
          <w:rFonts w:ascii="gobCL" w:hAnsi="gobCL"/>
          <w:b/>
        </w:rPr>
        <w:t>Brote 21, Figura 6:</w:t>
      </w:r>
      <w:r w:rsidRPr="00B407DF">
        <w:rPr>
          <w:rFonts w:ascii="gobCL" w:hAnsi="gobCL"/>
          <w:bCs/>
        </w:rPr>
        <w:t xml:space="preserve"> Brote interregional que involucró a personas que realizaron intercambio de parejas generando 2 casos en</w:t>
      </w:r>
      <w:r w:rsidRPr="00B407DF">
        <w:rPr>
          <w:rFonts w:ascii="gobCL" w:hAnsi="gobCL"/>
        </w:rPr>
        <w:t xml:space="preserve"> la región de La Araucanía y 1 en la región de Los Lagos. </w:t>
      </w:r>
    </w:p>
    <w:p w14:paraId="26953504" w14:textId="77777777" w:rsidR="001C0355" w:rsidRDefault="001C0355" w:rsidP="001C0355">
      <w:pPr>
        <w:pStyle w:val="Prrafodelista"/>
        <w:numPr>
          <w:ilvl w:val="0"/>
          <w:numId w:val="6"/>
        </w:numPr>
        <w:spacing w:after="0" w:line="360" w:lineRule="auto"/>
        <w:jc w:val="both"/>
        <w:rPr>
          <w:rFonts w:ascii="gobCL" w:hAnsi="gobCL"/>
          <w:bCs/>
        </w:rPr>
      </w:pPr>
      <w:r w:rsidRPr="00B407DF">
        <w:rPr>
          <w:rFonts w:ascii="gobCL" w:hAnsi="gobCL"/>
          <w:b/>
        </w:rPr>
        <w:t>Clúster 8-Brote 14-Cl</w:t>
      </w:r>
      <w:r>
        <w:rPr>
          <w:rFonts w:ascii="gobCL" w:hAnsi="gobCL"/>
          <w:b/>
        </w:rPr>
        <w:t>ú</w:t>
      </w:r>
      <w:r w:rsidRPr="00B407DF">
        <w:rPr>
          <w:rFonts w:ascii="gobCL" w:hAnsi="gobCL"/>
          <w:b/>
        </w:rPr>
        <w:t>ster 22, Figura 6</w:t>
      </w:r>
      <w:r>
        <w:rPr>
          <w:rFonts w:ascii="gobCL" w:hAnsi="gobCL"/>
          <w:b/>
        </w:rPr>
        <w:t>:</w:t>
      </w:r>
      <w:r w:rsidRPr="00B407DF">
        <w:rPr>
          <w:rFonts w:ascii="gobCL" w:hAnsi="gobCL"/>
          <w:bCs/>
        </w:rPr>
        <w:t xml:space="preserve"> </w:t>
      </w:r>
      <w:r>
        <w:rPr>
          <w:rFonts w:ascii="gobCL" w:hAnsi="gobCL"/>
          <w:bCs/>
        </w:rPr>
        <w:t>B</w:t>
      </w:r>
      <w:r w:rsidRPr="00B407DF">
        <w:rPr>
          <w:rFonts w:ascii="gobCL" w:hAnsi="gobCL"/>
          <w:bCs/>
        </w:rPr>
        <w:t xml:space="preserve">rote </w:t>
      </w:r>
      <w:r>
        <w:rPr>
          <w:rFonts w:ascii="gobCL" w:hAnsi="gobCL"/>
          <w:bCs/>
        </w:rPr>
        <w:t xml:space="preserve">que involucró a un </w:t>
      </w:r>
      <w:r w:rsidRPr="00B407DF">
        <w:rPr>
          <w:rFonts w:ascii="gobCL" w:hAnsi="gobCL"/>
          <w:bCs/>
        </w:rPr>
        <w:t xml:space="preserve">residente de la región de Los Ríos </w:t>
      </w:r>
      <w:r>
        <w:rPr>
          <w:rFonts w:ascii="gobCL" w:hAnsi="gobCL"/>
          <w:bCs/>
        </w:rPr>
        <w:t>que mientras se dirigía a l</w:t>
      </w:r>
      <w:r w:rsidRPr="00B407DF">
        <w:rPr>
          <w:rFonts w:ascii="gobCL" w:hAnsi="gobCL"/>
          <w:bCs/>
        </w:rPr>
        <w:t xml:space="preserve">a región de Coquimbo </w:t>
      </w:r>
      <w:r>
        <w:rPr>
          <w:rFonts w:ascii="gobCL" w:hAnsi="gobCL"/>
          <w:bCs/>
        </w:rPr>
        <w:t xml:space="preserve">se detuvo en la región Metropolitana y </w:t>
      </w:r>
      <w:r w:rsidRPr="00B407DF">
        <w:rPr>
          <w:rFonts w:ascii="gobCL" w:hAnsi="gobCL"/>
          <w:bCs/>
        </w:rPr>
        <w:t>mant</w:t>
      </w:r>
      <w:r>
        <w:rPr>
          <w:rFonts w:ascii="gobCL" w:hAnsi="gobCL"/>
          <w:bCs/>
        </w:rPr>
        <w:t>uvo</w:t>
      </w:r>
      <w:r w:rsidRPr="00B407DF">
        <w:rPr>
          <w:rFonts w:ascii="gobCL" w:hAnsi="gobCL"/>
          <w:bCs/>
        </w:rPr>
        <w:t xml:space="preserve"> contacto sexual con </w:t>
      </w:r>
      <w:r>
        <w:rPr>
          <w:rFonts w:ascii="gobCL" w:hAnsi="gobCL"/>
          <w:bCs/>
        </w:rPr>
        <w:t xml:space="preserve">un </w:t>
      </w:r>
      <w:r w:rsidRPr="00B407DF">
        <w:rPr>
          <w:rFonts w:ascii="gobCL" w:hAnsi="gobCL"/>
          <w:bCs/>
        </w:rPr>
        <w:t>hombre quien a su vez también es parte de un clúster detectado por dirección en edificio residencial de la comuna de Santiago, lugar en el cual ya se había detectado un tercer clúster</w:t>
      </w:r>
      <w:r>
        <w:rPr>
          <w:rFonts w:ascii="gobCL" w:hAnsi="gobCL"/>
          <w:bCs/>
        </w:rPr>
        <w:t>.</w:t>
      </w:r>
      <w:r w:rsidRPr="00B407DF">
        <w:rPr>
          <w:rFonts w:ascii="gobCL" w:hAnsi="gobCL"/>
          <w:bCs/>
        </w:rPr>
        <w:t xml:space="preserve"> </w:t>
      </w:r>
    </w:p>
    <w:p w14:paraId="451F9113" w14:textId="77777777" w:rsidR="001C0355" w:rsidRDefault="001C0355" w:rsidP="001C0355">
      <w:pPr>
        <w:pStyle w:val="Prrafodelista"/>
        <w:numPr>
          <w:ilvl w:val="0"/>
          <w:numId w:val="6"/>
        </w:numPr>
        <w:spacing w:after="0" w:line="360" w:lineRule="auto"/>
        <w:jc w:val="both"/>
        <w:rPr>
          <w:rFonts w:ascii="gobCL" w:hAnsi="gobCL"/>
          <w:bCs/>
        </w:rPr>
      </w:pPr>
      <w:r w:rsidRPr="00361DE1">
        <w:rPr>
          <w:rFonts w:ascii="gobCL" w:hAnsi="gobCL"/>
          <w:b/>
        </w:rPr>
        <w:t>Brote 31, Figura 6:</w:t>
      </w:r>
      <w:r>
        <w:rPr>
          <w:rFonts w:ascii="gobCL" w:hAnsi="gobCL"/>
          <w:bCs/>
        </w:rPr>
        <w:t xml:space="preserve"> B</w:t>
      </w:r>
      <w:r w:rsidRPr="00F200EA">
        <w:rPr>
          <w:rFonts w:ascii="gobCL" w:hAnsi="gobCL"/>
          <w:bCs/>
        </w:rPr>
        <w:t xml:space="preserve">rote </w:t>
      </w:r>
      <w:r>
        <w:rPr>
          <w:rFonts w:ascii="gobCL" w:hAnsi="gobCL"/>
          <w:bCs/>
        </w:rPr>
        <w:t>asociado a viajero</w:t>
      </w:r>
      <w:r w:rsidRPr="00F200EA">
        <w:rPr>
          <w:rFonts w:ascii="gobCL" w:hAnsi="gobCL"/>
          <w:bCs/>
        </w:rPr>
        <w:t xml:space="preserve"> interregional detecta</w:t>
      </w:r>
      <w:r>
        <w:rPr>
          <w:rFonts w:ascii="gobCL" w:hAnsi="gobCL"/>
          <w:bCs/>
        </w:rPr>
        <w:t>do</w:t>
      </w:r>
      <w:r w:rsidRPr="00F200EA">
        <w:rPr>
          <w:rFonts w:ascii="gobCL" w:hAnsi="gobCL"/>
          <w:bCs/>
        </w:rPr>
        <w:t xml:space="preserve"> a partir del primer caso confirmado de la región de Aysén, donde un hombre refiere tener </w:t>
      </w:r>
      <w:r>
        <w:rPr>
          <w:rFonts w:ascii="gobCL" w:hAnsi="gobCL"/>
          <w:bCs/>
        </w:rPr>
        <w:t xml:space="preserve">sexual en la región Metropolitana. Luego </w:t>
      </w:r>
      <w:r w:rsidRPr="00F200EA">
        <w:rPr>
          <w:rFonts w:ascii="gobCL" w:hAnsi="gobCL"/>
          <w:bCs/>
        </w:rPr>
        <w:t>viaj</w:t>
      </w:r>
      <w:r>
        <w:rPr>
          <w:rFonts w:ascii="gobCL" w:hAnsi="gobCL"/>
          <w:bCs/>
        </w:rPr>
        <w:t>ó</w:t>
      </w:r>
      <w:r w:rsidRPr="00F200EA">
        <w:rPr>
          <w:rFonts w:ascii="gobCL" w:hAnsi="gobCL"/>
          <w:bCs/>
        </w:rPr>
        <w:t xml:space="preserve"> a </w:t>
      </w:r>
      <w:r>
        <w:rPr>
          <w:rFonts w:ascii="gobCL" w:hAnsi="gobCL"/>
          <w:bCs/>
        </w:rPr>
        <w:t xml:space="preserve">la </w:t>
      </w:r>
      <w:r w:rsidRPr="00F200EA">
        <w:rPr>
          <w:rFonts w:ascii="gobCL" w:hAnsi="gobCL"/>
          <w:bCs/>
        </w:rPr>
        <w:t>región de la Araucanía donde mantiene contacto sexual con una mujer, y luego viaj</w:t>
      </w:r>
      <w:r>
        <w:rPr>
          <w:rFonts w:ascii="gobCL" w:hAnsi="gobCL"/>
          <w:bCs/>
        </w:rPr>
        <w:t>ó</w:t>
      </w:r>
      <w:r w:rsidRPr="00F200EA">
        <w:rPr>
          <w:rFonts w:ascii="gobCL" w:hAnsi="gobCL"/>
          <w:bCs/>
        </w:rPr>
        <w:t xml:space="preserve"> a la región de Aysén donde finalmente se notifica el caso. </w:t>
      </w:r>
      <w:r>
        <w:rPr>
          <w:rFonts w:ascii="gobCL" w:hAnsi="gobCL"/>
          <w:bCs/>
        </w:rPr>
        <w:t xml:space="preserve">Posteriormente, </w:t>
      </w:r>
      <w:r w:rsidRPr="00F200EA">
        <w:rPr>
          <w:rFonts w:ascii="gobCL" w:hAnsi="gobCL"/>
          <w:bCs/>
        </w:rPr>
        <w:t>viaj</w:t>
      </w:r>
      <w:r>
        <w:rPr>
          <w:rFonts w:ascii="gobCL" w:hAnsi="gobCL"/>
          <w:bCs/>
        </w:rPr>
        <w:t>ó</w:t>
      </w:r>
      <w:r w:rsidRPr="00F200EA">
        <w:rPr>
          <w:rFonts w:ascii="gobCL" w:hAnsi="gobCL"/>
          <w:bCs/>
        </w:rPr>
        <w:t xml:space="preserve"> a la región de Los Lagos para continuar a la región del Biobío. </w:t>
      </w:r>
      <w:r>
        <w:rPr>
          <w:rFonts w:ascii="gobCL" w:hAnsi="gobCL"/>
          <w:bCs/>
        </w:rPr>
        <w:t xml:space="preserve">Los equipos de epidemiología de las </w:t>
      </w:r>
      <w:r w:rsidRPr="00F200EA">
        <w:rPr>
          <w:rFonts w:ascii="gobCL" w:hAnsi="gobCL"/>
          <w:bCs/>
        </w:rPr>
        <w:t>SEREMIs de salud regionales trabaja</w:t>
      </w:r>
      <w:r>
        <w:rPr>
          <w:rFonts w:ascii="gobCL" w:hAnsi="gobCL"/>
          <w:bCs/>
        </w:rPr>
        <w:t>ron</w:t>
      </w:r>
      <w:r w:rsidRPr="00F200EA">
        <w:rPr>
          <w:rFonts w:ascii="gobCL" w:hAnsi="gobCL"/>
          <w:bCs/>
        </w:rPr>
        <w:t xml:space="preserve"> en conjunto para localizar al caso y comenzar un aislamiento seguro. Posteriormente, se detectan 2 nuevos casos en la región de Aysén quienes indican haber mantenido contacto sexual con el caso índice, ambos durante el periodo de transmisibilidad del caso índice.</w:t>
      </w:r>
    </w:p>
    <w:p w14:paraId="670D6FB3" w14:textId="3FBCD9F4" w:rsidR="001C0355" w:rsidRDefault="001C0355" w:rsidP="001C0355">
      <w:pPr>
        <w:pStyle w:val="Prrafodelista"/>
        <w:numPr>
          <w:ilvl w:val="0"/>
          <w:numId w:val="6"/>
        </w:numPr>
        <w:spacing w:after="0" w:line="360" w:lineRule="auto"/>
        <w:jc w:val="both"/>
        <w:rPr>
          <w:rFonts w:ascii="gobCL" w:hAnsi="gobCL"/>
          <w:bCs/>
        </w:rPr>
      </w:pPr>
      <w:r w:rsidRPr="00F200EA">
        <w:rPr>
          <w:rFonts w:ascii="gobCL" w:hAnsi="gobCL"/>
          <w:b/>
        </w:rPr>
        <w:t>Clúster 10, Figura 6</w:t>
      </w:r>
      <w:r>
        <w:rPr>
          <w:rFonts w:ascii="gobCL" w:hAnsi="gobCL"/>
          <w:bCs/>
        </w:rPr>
        <w:t>:</w:t>
      </w:r>
      <w:r w:rsidRPr="00F200EA">
        <w:rPr>
          <w:rFonts w:ascii="gobCL" w:hAnsi="gobCL"/>
          <w:bCs/>
        </w:rPr>
        <w:t xml:space="preserve"> Un conglomerado atípico ocurrido en la región de Valparaíso</w:t>
      </w:r>
      <w:r>
        <w:rPr>
          <w:rFonts w:ascii="gobCL" w:hAnsi="gobCL"/>
          <w:bCs/>
        </w:rPr>
        <w:t xml:space="preserve">, que </w:t>
      </w:r>
      <w:r w:rsidRPr="00F200EA">
        <w:rPr>
          <w:rFonts w:ascii="gobCL" w:hAnsi="gobCL"/>
          <w:bCs/>
        </w:rPr>
        <w:t>involucr</w:t>
      </w:r>
      <w:r>
        <w:rPr>
          <w:rFonts w:ascii="gobCL" w:hAnsi="gobCL"/>
          <w:bCs/>
        </w:rPr>
        <w:t>ó</w:t>
      </w:r>
      <w:r w:rsidRPr="00F200EA">
        <w:rPr>
          <w:rFonts w:ascii="gobCL" w:hAnsi="gobCL"/>
          <w:bCs/>
        </w:rPr>
        <w:t xml:space="preserve"> a un lactante de 7 meses y un adulto amigo de la familia, inquilino de una habitación en la misma casa; ambos enferman con un día de diferencia</w:t>
      </w:r>
      <w:r>
        <w:rPr>
          <w:rFonts w:ascii="gobCL" w:hAnsi="gobCL"/>
          <w:bCs/>
        </w:rPr>
        <w:t>.</w:t>
      </w:r>
      <w:r w:rsidRPr="00F200EA">
        <w:rPr>
          <w:rFonts w:ascii="gobCL" w:hAnsi="gobCL"/>
          <w:bCs/>
        </w:rPr>
        <w:t xml:space="preserve"> La familia del menor, compuesta por madre, padre y dos hermanas de 10 y 8 años, se clasifican como casos probables debido a la presentación de sus síntomas y contacto estrecho y directo durante el periodo de transmisibilidad con el lactante confirmado.</w:t>
      </w:r>
      <w:r>
        <w:rPr>
          <w:rFonts w:ascii="gobCL" w:hAnsi="gobCL"/>
          <w:bCs/>
        </w:rPr>
        <w:t xml:space="preserve"> </w:t>
      </w:r>
      <w:r w:rsidRPr="00F200EA">
        <w:rPr>
          <w:rFonts w:ascii="gobCL" w:hAnsi="gobCL"/>
          <w:bCs/>
        </w:rPr>
        <w:t xml:space="preserve">El adulto infectado comparte esporádicamente con la familia y el niño en su habitación estrecha. En la evaluación ambiental se identifica el uso de espacios comunes como baño, cocina y lavandería entre los residentes, incluyendo ropa y utensilios comunes. La hipótesis de infección es contacto indirecto (fómites), desconociéndose el caso primario. </w:t>
      </w:r>
    </w:p>
    <w:p w14:paraId="09831227" w14:textId="77777777" w:rsidR="001C0355" w:rsidRDefault="001C0355" w:rsidP="001C0355">
      <w:pPr>
        <w:pStyle w:val="Prrafodelista"/>
        <w:numPr>
          <w:ilvl w:val="0"/>
          <w:numId w:val="6"/>
        </w:numPr>
        <w:spacing w:after="0" w:line="360" w:lineRule="auto"/>
        <w:jc w:val="both"/>
        <w:rPr>
          <w:rFonts w:ascii="gobCL" w:hAnsi="gobCL"/>
          <w:bCs/>
        </w:rPr>
      </w:pPr>
      <w:r w:rsidRPr="00F200EA">
        <w:rPr>
          <w:rFonts w:ascii="gobCL" w:hAnsi="gobCL"/>
          <w:b/>
        </w:rPr>
        <w:lastRenderedPageBreak/>
        <w:t xml:space="preserve">Brote 22, Figura </w:t>
      </w:r>
      <w:r>
        <w:rPr>
          <w:rFonts w:ascii="gobCL" w:hAnsi="gobCL"/>
          <w:b/>
        </w:rPr>
        <w:t>6:</w:t>
      </w:r>
      <w:r w:rsidRPr="00F200EA">
        <w:rPr>
          <w:rFonts w:ascii="gobCL" w:hAnsi="gobCL"/>
          <w:bCs/>
        </w:rPr>
        <w:t xml:space="preserve"> </w:t>
      </w:r>
      <w:r>
        <w:rPr>
          <w:rFonts w:ascii="gobCL" w:hAnsi="gobCL"/>
          <w:bCs/>
        </w:rPr>
        <w:t xml:space="preserve">Brote </w:t>
      </w:r>
      <w:r w:rsidRPr="00F200EA">
        <w:rPr>
          <w:rFonts w:ascii="gobCL" w:hAnsi="gobCL"/>
          <w:bCs/>
        </w:rPr>
        <w:t xml:space="preserve">en región de Coquimbo. Caso confirmado, hombre quien </w:t>
      </w:r>
      <w:r>
        <w:rPr>
          <w:rFonts w:ascii="gobCL" w:hAnsi="gobCL"/>
          <w:bCs/>
        </w:rPr>
        <w:t xml:space="preserve">trabaja </w:t>
      </w:r>
      <w:r w:rsidRPr="00F200EA">
        <w:rPr>
          <w:rFonts w:ascii="gobCL" w:hAnsi="gobCL"/>
          <w:bCs/>
        </w:rPr>
        <w:t xml:space="preserve">en un club nocturno contagia a su madre de 72 años con comorbilidades de hipertensión y diabetes con quien vive. Luego de la investigación se determina que la fuente probable de exposición del caso fue contacto directo físico a través de saludos de abrazo y beso, y fómites ya que la madre manipula vestimenta del caso índice y ropa de cama, además de compartir utensilios. En cuanto a los factores de riesgo del caso índice, </w:t>
      </w:r>
      <w:r>
        <w:rPr>
          <w:rFonts w:ascii="gobCL" w:hAnsi="gobCL"/>
          <w:bCs/>
        </w:rPr>
        <w:t>se identifica contacto físico directo con múltiples amigos y compañeros de trabajo</w:t>
      </w:r>
      <w:r w:rsidRPr="00F200EA">
        <w:rPr>
          <w:rFonts w:ascii="gobCL" w:hAnsi="gobCL"/>
          <w:bCs/>
        </w:rPr>
        <w:t>.</w:t>
      </w:r>
    </w:p>
    <w:p w14:paraId="045C19C5" w14:textId="77777777" w:rsidR="001C0355" w:rsidRDefault="001C0355" w:rsidP="001C0355">
      <w:pPr>
        <w:pStyle w:val="Prrafodelista"/>
        <w:numPr>
          <w:ilvl w:val="0"/>
          <w:numId w:val="6"/>
        </w:numPr>
        <w:spacing w:after="0" w:line="360" w:lineRule="auto"/>
        <w:jc w:val="both"/>
        <w:rPr>
          <w:rFonts w:ascii="gobCL" w:hAnsi="gobCL"/>
          <w:bCs/>
        </w:rPr>
      </w:pPr>
      <w:r w:rsidRPr="00F200EA">
        <w:rPr>
          <w:rFonts w:ascii="gobCL" w:hAnsi="gobCL"/>
          <w:b/>
        </w:rPr>
        <w:t>Brote 7 y 11</w:t>
      </w:r>
      <w:r>
        <w:rPr>
          <w:rFonts w:ascii="gobCL" w:hAnsi="gobCL"/>
          <w:b/>
        </w:rPr>
        <w:t>, Figura 6:</w:t>
      </w:r>
      <w:r>
        <w:rPr>
          <w:rFonts w:ascii="gobCL" w:hAnsi="gobCL"/>
          <w:bCs/>
        </w:rPr>
        <w:t xml:space="preserve"> </w:t>
      </w:r>
      <w:r w:rsidRPr="00F200EA">
        <w:rPr>
          <w:rFonts w:ascii="gobCL" w:hAnsi="gobCL"/>
          <w:bCs/>
        </w:rPr>
        <w:t>Se reportan dos brotes relacionados al comercio sexual, los cuales generaron 4 casos a partir de los casos identificados como trabajadores sexuales; los que a su vez tuvieron contacto sexual con viajeros extranjeros, días antes del inicio de sus síntomas.</w:t>
      </w:r>
    </w:p>
    <w:p w14:paraId="5C554580" w14:textId="4FAFFC6A" w:rsidR="001C0355" w:rsidRDefault="001C0355" w:rsidP="001C0355">
      <w:pPr>
        <w:pStyle w:val="Prrafodelista"/>
        <w:numPr>
          <w:ilvl w:val="0"/>
          <w:numId w:val="6"/>
        </w:numPr>
        <w:spacing w:after="0" w:line="360" w:lineRule="auto"/>
        <w:jc w:val="both"/>
        <w:rPr>
          <w:rFonts w:ascii="gobCL" w:hAnsi="gobCL"/>
          <w:bCs/>
        </w:rPr>
      </w:pPr>
      <w:r w:rsidRPr="00361DE1">
        <w:rPr>
          <w:rFonts w:ascii="gobCL" w:hAnsi="gobCL"/>
          <w:b/>
        </w:rPr>
        <w:t>Brote IAAS 1, Figura 6:</w:t>
      </w:r>
      <w:r>
        <w:rPr>
          <w:rFonts w:ascii="gobCL" w:hAnsi="gobCL"/>
          <w:bCs/>
        </w:rPr>
        <w:t xml:space="preserve"> M</w:t>
      </w:r>
      <w:r w:rsidRPr="007B0A56">
        <w:rPr>
          <w:rFonts w:ascii="gobCL" w:hAnsi="gobCL"/>
          <w:bCs/>
        </w:rPr>
        <w:t xml:space="preserve">ujer de 31 años, embarazada con 7 semanas de gestación y enfermera de un establecimiento de salud sufre accidente durante la obtención de muestra (descostraje con bisturí) de un paciente </w:t>
      </w:r>
      <w:r>
        <w:rPr>
          <w:rFonts w:ascii="gobCL" w:hAnsi="gobCL"/>
          <w:bCs/>
        </w:rPr>
        <w:t>c</w:t>
      </w:r>
      <w:r w:rsidRPr="007B0A56">
        <w:rPr>
          <w:rFonts w:ascii="gobCL" w:hAnsi="gobCL"/>
          <w:bCs/>
        </w:rPr>
        <w:t>onfirma</w:t>
      </w:r>
      <w:r>
        <w:rPr>
          <w:rFonts w:ascii="gobCL" w:hAnsi="gobCL"/>
          <w:bCs/>
        </w:rPr>
        <w:t>do</w:t>
      </w:r>
      <w:r w:rsidRPr="007B0A56">
        <w:rPr>
          <w:rFonts w:ascii="gobCL" w:hAnsi="gobCL"/>
          <w:bCs/>
        </w:rPr>
        <w:t xml:space="preserve"> para</w:t>
      </w:r>
      <w:r w:rsidR="0006192C">
        <w:rPr>
          <w:rFonts w:ascii="gobCL" w:hAnsi="gobCL"/>
          <w:bCs/>
        </w:rPr>
        <w:t xml:space="preserve"> Viruela del Mono</w:t>
      </w:r>
      <w:r w:rsidRPr="007B0A56">
        <w:rPr>
          <w:rFonts w:ascii="gobCL" w:hAnsi="gobCL"/>
          <w:bCs/>
        </w:rPr>
        <w:t xml:space="preserve">. Se procede con manejo local y derivación a </w:t>
      </w:r>
      <w:r>
        <w:rPr>
          <w:rFonts w:ascii="gobCL" w:hAnsi="gobCL"/>
          <w:bCs/>
        </w:rPr>
        <w:t>e</w:t>
      </w:r>
      <w:r w:rsidRPr="007B0A56">
        <w:rPr>
          <w:rFonts w:ascii="gobCL" w:hAnsi="gobCL"/>
          <w:bCs/>
        </w:rPr>
        <w:t xml:space="preserve">stablecimiento de </w:t>
      </w:r>
      <w:r>
        <w:rPr>
          <w:rFonts w:ascii="gobCL" w:hAnsi="gobCL"/>
          <w:bCs/>
        </w:rPr>
        <w:t>s</w:t>
      </w:r>
      <w:r w:rsidRPr="007B0A56">
        <w:rPr>
          <w:rFonts w:ascii="gobCL" w:hAnsi="gobCL"/>
          <w:bCs/>
        </w:rPr>
        <w:t xml:space="preserve">alud de referencia para accidentes laborales donde inician profilaxis con TARV. </w:t>
      </w:r>
      <w:r>
        <w:rPr>
          <w:rFonts w:ascii="gobCL" w:hAnsi="gobCL"/>
          <w:bCs/>
        </w:rPr>
        <w:t>Posteriormente</w:t>
      </w:r>
      <w:r w:rsidRPr="007B0A56">
        <w:rPr>
          <w:rFonts w:ascii="gobCL" w:hAnsi="gobCL"/>
          <w:bCs/>
        </w:rPr>
        <w:t xml:space="preserve"> inici</w:t>
      </w:r>
      <w:r>
        <w:rPr>
          <w:rFonts w:ascii="gobCL" w:hAnsi="gobCL"/>
          <w:bCs/>
        </w:rPr>
        <w:t>ó</w:t>
      </w:r>
      <w:r w:rsidRPr="007B0A56">
        <w:rPr>
          <w:rFonts w:ascii="gobCL" w:hAnsi="gobCL"/>
          <w:bCs/>
        </w:rPr>
        <w:t xml:space="preserve"> sintomatología con cefalea, mialgia, calofríos, sensación febril; se interpreta celulitis en área afectada durante el accidente para el cual inicia tratamiento antibiótico. </w:t>
      </w:r>
      <w:r>
        <w:rPr>
          <w:rFonts w:ascii="gobCL" w:hAnsi="gobCL"/>
          <w:bCs/>
        </w:rPr>
        <w:t>Luego de la toma de muestra fue confirmada</w:t>
      </w:r>
      <w:r w:rsidRPr="007B0A56">
        <w:rPr>
          <w:rFonts w:ascii="gobCL" w:hAnsi="gobCL"/>
          <w:bCs/>
        </w:rPr>
        <w:t xml:space="preserve"> para </w:t>
      </w:r>
      <w:r>
        <w:rPr>
          <w:rFonts w:ascii="gobCL" w:hAnsi="gobCL"/>
          <w:bCs/>
        </w:rPr>
        <w:t>v</w:t>
      </w:r>
      <w:r w:rsidRPr="007B0A56">
        <w:rPr>
          <w:rFonts w:ascii="gobCL" w:hAnsi="gobCL"/>
          <w:bCs/>
        </w:rPr>
        <w:t xml:space="preserve">iruela </w:t>
      </w:r>
      <w:r>
        <w:rPr>
          <w:rFonts w:ascii="gobCL" w:hAnsi="gobCL"/>
          <w:bCs/>
        </w:rPr>
        <w:t>s</w:t>
      </w:r>
      <w:r w:rsidRPr="007B0A56">
        <w:rPr>
          <w:rFonts w:ascii="gobCL" w:hAnsi="gobCL"/>
          <w:bCs/>
        </w:rPr>
        <w:t xml:space="preserve">ímica. </w:t>
      </w:r>
    </w:p>
    <w:p w14:paraId="4E581C69" w14:textId="77777777" w:rsidR="001C0355" w:rsidRDefault="001C0355" w:rsidP="001C0355">
      <w:pPr>
        <w:pStyle w:val="Prrafodelista"/>
        <w:numPr>
          <w:ilvl w:val="0"/>
          <w:numId w:val="6"/>
        </w:numPr>
        <w:spacing w:after="0" w:line="360" w:lineRule="auto"/>
        <w:jc w:val="both"/>
        <w:rPr>
          <w:rFonts w:ascii="gobCL" w:hAnsi="gobCL"/>
          <w:bCs/>
        </w:rPr>
      </w:pPr>
      <w:r w:rsidRPr="009942EE">
        <w:rPr>
          <w:rFonts w:ascii="gobCL" w:hAnsi="gobCL"/>
          <w:b/>
        </w:rPr>
        <w:t xml:space="preserve">Brote 36, Figura 6: </w:t>
      </w:r>
      <w:r>
        <w:rPr>
          <w:rFonts w:ascii="gobCL" w:hAnsi="gobCL"/>
          <w:bCs/>
        </w:rPr>
        <w:t xml:space="preserve">Brote en región de Valparaíso. Caso confirmado de hombre de 41 años, quien inicia sintomatología el 09 de septiembre, sin antecedentes de viaje ni actividades de riesgo reportadas. Cohabita junto a su pareja, mujer de 42 años e hija de 10 años, ambas inician sintomatología el 20 de septiembre, por lo que se determinan casos probables con nexo por contacto directo intrafamiliar con el caso índice durante período de transmisibilidad. </w:t>
      </w:r>
    </w:p>
    <w:p w14:paraId="2546CAFA" w14:textId="77777777" w:rsidR="001C0355" w:rsidRDefault="001C0355" w:rsidP="001C0355">
      <w:pPr>
        <w:pStyle w:val="Prrafodelista"/>
        <w:numPr>
          <w:ilvl w:val="0"/>
          <w:numId w:val="6"/>
        </w:numPr>
        <w:spacing w:after="0" w:line="360" w:lineRule="auto"/>
        <w:jc w:val="both"/>
        <w:rPr>
          <w:rFonts w:ascii="gobCL" w:hAnsi="gobCL"/>
          <w:bCs/>
        </w:rPr>
      </w:pPr>
      <w:r>
        <w:rPr>
          <w:rFonts w:ascii="gobCL" w:hAnsi="gobCL"/>
          <w:b/>
        </w:rPr>
        <w:t>Clúster 43, Figura 6:</w:t>
      </w:r>
      <w:r w:rsidRPr="00A77392">
        <w:t xml:space="preserve"> </w:t>
      </w:r>
      <w:r w:rsidRPr="00A77392">
        <w:rPr>
          <w:rFonts w:ascii="gobCL" w:hAnsi="gobCL"/>
          <w:bCs/>
        </w:rPr>
        <w:t>Conglomerado interregional que involucró a residentes de las regiones de Biobío y RM donde los casos confirmados refieren múltiples parejas sexuales ocasionales conocidas a través de aplicación de citas y en contexto de fiestas privadas, saunas gays y clubes nocturnos. A la fecha se han detectado 4 casos confirmados y un gran número de contactos estrechos.</w:t>
      </w:r>
    </w:p>
    <w:p w14:paraId="27E5A2B4" w14:textId="1A2BCAA1" w:rsidR="001C0355" w:rsidRPr="00E55ECD" w:rsidRDefault="001C0355" w:rsidP="001C0355">
      <w:pPr>
        <w:pStyle w:val="Prrafodelista"/>
        <w:numPr>
          <w:ilvl w:val="0"/>
          <w:numId w:val="6"/>
        </w:numPr>
        <w:spacing w:after="0" w:line="360" w:lineRule="auto"/>
        <w:jc w:val="both"/>
        <w:rPr>
          <w:rFonts w:ascii="gobCL" w:hAnsi="gobCL"/>
          <w:bCs/>
        </w:rPr>
      </w:pPr>
      <w:r>
        <w:rPr>
          <w:rFonts w:ascii="gobCL" w:hAnsi="gobCL"/>
          <w:b/>
        </w:rPr>
        <w:t xml:space="preserve">Brote IAAS 2: </w:t>
      </w:r>
      <w:r>
        <w:rPr>
          <w:rFonts w:ascii="gobCL" w:hAnsi="gobCL"/>
          <w:bCs/>
        </w:rPr>
        <w:t>M</w:t>
      </w:r>
      <w:r w:rsidRPr="007B0A56">
        <w:rPr>
          <w:rFonts w:ascii="gobCL" w:hAnsi="gobCL"/>
          <w:bCs/>
        </w:rPr>
        <w:t>ujer de 3</w:t>
      </w:r>
      <w:r>
        <w:rPr>
          <w:rFonts w:ascii="gobCL" w:hAnsi="gobCL"/>
          <w:bCs/>
        </w:rPr>
        <w:t>3</w:t>
      </w:r>
      <w:r w:rsidRPr="007B0A56">
        <w:rPr>
          <w:rFonts w:ascii="gobCL" w:hAnsi="gobCL"/>
          <w:bCs/>
        </w:rPr>
        <w:t xml:space="preserve"> años, enfermera de un establecimiento de salud sufre accidente durante la obtención de muestra (descostraje con bisturí) de un paciente </w:t>
      </w:r>
      <w:r>
        <w:rPr>
          <w:rFonts w:ascii="gobCL" w:hAnsi="gobCL"/>
          <w:bCs/>
        </w:rPr>
        <w:t>c</w:t>
      </w:r>
      <w:r w:rsidRPr="007B0A56">
        <w:rPr>
          <w:rFonts w:ascii="gobCL" w:hAnsi="gobCL"/>
          <w:bCs/>
        </w:rPr>
        <w:t>onfirma</w:t>
      </w:r>
      <w:r>
        <w:rPr>
          <w:rFonts w:ascii="gobCL" w:hAnsi="gobCL"/>
          <w:bCs/>
        </w:rPr>
        <w:t>do</w:t>
      </w:r>
      <w:r w:rsidRPr="007B0A56">
        <w:rPr>
          <w:rFonts w:ascii="gobCL" w:hAnsi="gobCL"/>
          <w:bCs/>
        </w:rPr>
        <w:t xml:space="preserve"> para Viruela </w:t>
      </w:r>
      <w:r w:rsidR="0006192C">
        <w:rPr>
          <w:rFonts w:ascii="gobCL" w:hAnsi="gobCL"/>
          <w:bCs/>
        </w:rPr>
        <w:t>del Mono</w:t>
      </w:r>
      <w:r>
        <w:rPr>
          <w:rFonts w:ascii="gobCL" w:hAnsi="gobCL"/>
          <w:bCs/>
        </w:rPr>
        <w:t>.</w:t>
      </w:r>
      <w:r w:rsidRPr="007B0A56">
        <w:rPr>
          <w:rFonts w:ascii="gobCL" w:hAnsi="gobCL"/>
          <w:bCs/>
        </w:rPr>
        <w:t xml:space="preserve"> Se procede con manejo local y derivación a </w:t>
      </w:r>
      <w:r>
        <w:rPr>
          <w:rFonts w:ascii="gobCL" w:hAnsi="gobCL"/>
          <w:bCs/>
        </w:rPr>
        <w:t>e</w:t>
      </w:r>
      <w:r w:rsidRPr="007B0A56">
        <w:rPr>
          <w:rFonts w:ascii="gobCL" w:hAnsi="gobCL"/>
          <w:bCs/>
        </w:rPr>
        <w:t xml:space="preserve">stablecimiento de </w:t>
      </w:r>
      <w:r>
        <w:rPr>
          <w:rFonts w:ascii="gobCL" w:hAnsi="gobCL"/>
          <w:bCs/>
        </w:rPr>
        <w:t>s</w:t>
      </w:r>
      <w:r w:rsidRPr="007B0A56">
        <w:rPr>
          <w:rFonts w:ascii="gobCL" w:hAnsi="gobCL"/>
          <w:bCs/>
        </w:rPr>
        <w:t>alud de referencia para accidentes laborales</w:t>
      </w:r>
      <w:r>
        <w:rPr>
          <w:rFonts w:ascii="gobCL" w:hAnsi="gobCL"/>
          <w:bCs/>
        </w:rPr>
        <w:t>. Posteriormente</w:t>
      </w:r>
      <w:r w:rsidRPr="007B0A56">
        <w:rPr>
          <w:rFonts w:ascii="gobCL" w:hAnsi="gobCL"/>
          <w:bCs/>
        </w:rPr>
        <w:t xml:space="preserve"> inici</w:t>
      </w:r>
      <w:r>
        <w:rPr>
          <w:rFonts w:ascii="gobCL" w:hAnsi="gobCL"/>
          <w:bCs/>
        </w:rPr>
        <w:t>ó</w:t>
      </w:r>
      <w:r w:rsidRPr="007B0A56">
        <w:rPr>
          <w:rFonts w:ascii="gobCL" w:hAnsi="gobCL"/>
          <w:bCs/>
        </w:rPr>
        <w:t xml:space="preserve"> sintomatología</w:t>
      </w:r>
      <w:r>
        <w:rPr>
          <w:rFonts w:ascii="gobCL" w:hAnsi="gobCL"/>
          <w:bCs/>
        </w:rPr>
        <w:t xml:space="preserve"> y se realiza toma de muestra de las lesiones ubicadas en la zona del accidente cortopunzante, confirmándose para v</w:t>
      </w:r>
      <w:r w:rsidRPr="007B0A56">
        <w:rPr>
          <w:rFonts w:ascii="gobCL" w:hAnsi="gobCL"/>
          <w:bCs/>
        </w:rPr>
        <w:t xml:space="preserve">iruela </w:t>
      </w:r>
      <w:r>
        <w:rPr>
          <w:rFonts w:ascii="gobCL" w:hAnsi="gobCL"/>
          <w:bCs/>
        </w:rPr>
        <w:t>s</w:t>
      </w:r>
      <w:r w:rsidRPr="007B0A56">
        <w:rPr>
          <w:rFonts w:ascii="gobCL" w:hAnsi="gobCL"/>
          <w:bCs/>
        </w:rPr>
        <w:t>ímica.</w:t>
      </w:r>
    </w:p>
    <w:p w14:paraId="33F4988A" w14:textId="77777777" w:rsidR="00250374" w:rsidRPr="004613F8" w:rsidRDefault="00250374" w:rsidP="00250374">
      <w:pPr>
        <w:spacing w:after="0" w:line="360" w:lineRule="auto"/>
        <w:jc w:val="both"/>
        <w:rPr>
          <w:rFonts w:ascii="gobCL" w:hAnsi="gobCL"/>
          <w:bCs/>
        </w:rPr>
      </w:pPr>
    </w:p>
    <w:p w14:paraId="089412AE" w14:textId="0A296A32" w:rsidR="00BF4DA5" w:rsidRPr="00D925EB" w:rsidRDefault="006C49D5">
      <w:pPr>
        <w:pStyle w:val="Ttulo1"/>
        <w:numPr>
          <w:ilvl w:val="0"/>
          <w:numId w:val="2"/>
        </w:numPr>
        <w:spacing w:before="0" w:line="360" w:lineRule="auto"/>
        <w:rPr>
          <w:rFonts w:ascii="gobCL" w:eastAsia="Times New Roman" w:hAnsi="gobCL"/>
          <w:b/>
          <w:bCs/>
          <w:color w:val="0070C0"/>
          <w:lang w:eastAsia="es-CL"/>
        </w:rPr>
      </w:pPr>
      <w:bookmarkStart w:id="7" w:name="_Toc115441225"/>
      <w:r w:rsidRPr="00D925EB">
        <w:rPr>
          <w:rFonts w:ascii="gobCL" w:eastAsia="Times New Roman" w:hAnsi="gobCL"/>
          <w:b/>
          <w:bCs/>
          <w:color w:val="0070C0"/>
          <w:lang w:eastAsia="es-CL"/>
        </w:rPr>
        <w:lastRenderedPageBreak/>
        <w:t>CONCEPTOS CLAVES</w:t>
      </w:r>
      <w:bookmarkEnd w:id="7"/>
    </w:p>
    <w:p w14:paraId="3F5D840D" w14:textId="77777777" w:rsidR="00717EFC" w:rsidRPr="00D925EB" w:rsidRDefault="00717EFC" w:rsidP="00633475">
      <w:pPr>
        <w:spacing w:after="0" w:line="360" w:lineRule="auto"/>
        <w:jc w:val="both"/>
        <w:rPr>
          <w:rFonts w:ascii="gobCL" w:hAnsi="gobCL"/>
          <w:b/>
          <w:u w:val="single"/>
        </w:rPr>
      </w:pPr>
    </w:p>
    <w:p w14:paraId="426652CA" w14:textId="39022FC9" w:rsidR="00991665" w:rsidRPr="00DE07A1" w:rsidRDefault="00717EFC">
      <w:pPr>
        <w:pStyle w:val="Prrafodelista"/>
        <w:numPr>
          <w:ilvl w:val="0"/>
          <w:numId w:val="4"/>
        </w:numPr>
        <w:spacing w:after="0" w:line="360" w:lineRule="auto"/>
        <w:jc w:val="both"/>
        <w:rPr>
          <w:rFonts w:ascii="gobCL" w:hAnsi="gobCL"/>
          <w:b/>
          <w:u w:val="single"/>
        </w:rPr>
      </w:pPr>
      <w:r w:rsidRPr="00DE07A1">
        <w:rPr>
          <w:rFonts w:ascii="gobCL" w:hAnsi="gobCL"/>
          <w:b/>
          <w:u w:val="single"/>
        </w:rPr>
        <w:t>Caso sospechoso:</w:t>
      </w:r>
    </w:p>
    <w:p w14:paraId="7AD49332" w14:textId="403B6A35" w:rsidR="00717EFC" w:rsidRPr="00DE07A1" w:rsidRDefault="00717EFC">
      <w:pPr>
        <w:pStyle w:val="Prrafodelista"/>
        <w:numPr>
          <w:ilvl w:val="1"/>
          <w:numId w:val="4"/>
        </w:numPr>
        <w:spacing w:after="0" w:line="360" w:lineRule="auto"/>
        <w:jc w:val="both"/>
        <w:rPr>
          <w:rFonts w:ascii="gobCL" w:hAnsi="gobCL"/>
          <w:b/>
          <w:u w:val="single"/>
        </w:rPr>
      </w:pPr>
      <w:r w:rsidRPr="00DE07A1">
        <w:rPr>
          <w:rFonts w:ascii="gobCL" w:hAnsi="gobCL"/>
          <w:b/>
        </w:rPr>
        <w:t xml:space="preserve">Definición A: </w:t>
      </w:r>
      <w:r w:rsidRPr="00DE07A1">
        <w:rPr>
          <w:rFonts w:ascii="gobCL" w:hAnsi="gobCL"/>
        </w:rPr>
        <w:t>Persona con lesión exantemática en piel o mucosas, única o múltiple, de aparición reciente, sin otra explicación y que puede presentarse sola o asociada a uno o más de los siguientes síntomas prodrómicos:</w:t>
      </w:r>
    </w:p>
    <w:p w14:paraId="481FD628" w14:textId="77777777" w:rsidR="00717EFC" w:rsidRPr="00DE07A1" w:rsidRDefault="00717EFC">
      <w:pPr>
        <w:pStyle w:val="Prrafodelista"/>
        <w:numPr>
          <w:ilvl w:val="2"/>
          <w:numId w:val="4"/>
        </w:numPr>
        <w:spacing w:after="0" w:line="360" w:lineRule="auto"/>
        <w:contextualSpacing/>
        <w:jc w:val="both"/>
        <w:rPr>
          <w:rFonts w:ascii="gobCL" w:hAnsi="gobCL"/>
        </w:rPr>
      </w:pPr>
      <w:r w:rsidRPr="00DE07A1">
        <w:rPr>
          <w:rFonts w:ascii="gobCL" w:hAnsi="gobCL"/>
        </w:rPr>
        <w:t>fiebre (&gt;38,5ºC)</w:t>
      </w:r>
    </w:p>
    <w:p w14:paraId="08679314" w14:textId="77777777" w:rsidR="00717EFC" w:rsidRPr="00DE07A1" w:rsidRDefault="00717EFC">
      <w:pPr>
        <w:pStyle w:val="Prrafodelista"/>
        <w:numPr>
          <w:ilvl w:val="2"/>
          <w:numId w:val="4"/>
        </w:numPr>
        <w:spacing w:after="0" w:line="360" w:lineRule="auto"/>
        <w:contextualSpacing/>
        <w:jc w:val="both"/>
        <w:rPr>
          <w:rFonts w:ascii="gobCL" w:hAnsi="gobCL"/>
        </w:rPr>
      </w:pPr>
      <w:r w:rsidRPr="00DE07A1">
        <w:rPr>
          <w:rFonts w:ascii="gobCL" w:hAnsi="gobCL"/>
        </w:rPr>
        <w:t>calofríos</w:t>
      </w:r>
    </w:p>
    <w:p w14:paraId="088211E1" w14:textId="77777777" w:rsidR="00717EFC" w:rsidRPr="00DE07A1" w:rsidRDefault="00717EFC">
      <w:pPr>
        <w:pStyle w:val="Prrafodelista"/>
        <w:numPr>
          <w:ilvl w:val="2"/>
          <w:numId w:val="4"/>
        </w:numPr>
        <w:spacing w:after="0" w:line="360" w:lineRule="auto"/>
        <w:contextualSpacing/>
        <w:jc w:val="both"/>
        <w:rPr>
          <w:rFonts w:ascii="gobCL" w:hAnsi="gobCL"/>
        </w:rPr>
      </w:pPr>
      <w:r w:rsidRPr="00DE07A1">
        <w:rPr>
          <w:rFonts w:ascii="gobCL" w:hAnsi="gobCL"/>
        </w:rPr>
        <w:t>mialgias</w:t>
      </w:r>
    </w:p>
    <w:p w14:paraId="00F48D47" w14:textId="77777777" w:rsidR="00717EFC" w:rsidRPr="00DE07A1" w:rsidRDefault="00717EFC">
      <w:pPr>
        <w:pStyle w:val="Prrafodelista"/>
        <w:numPr>
          <w:ilvl w:val="2"/>
          <w:numId w:val="4"/>
        </w:numPr>
        <w:spacing w:after="0" w:line="360" w:lineRule="auto"/>
        <w:contextualSpacing/>
        <w:jc w:val="both"/>
        <w:rPr>
          <w:rFonts w:ascii="gobCL" w:hAnsi="gobCL"/>
        </w:rPr>
      </w:pPr>
      <w:r w:rsidRPr="00DE07A1">
        <w:rPr>
          <w:rFonts w:ascii="gobCL" w:hAnsi="gobCL"/>
        </w:rPr>
        <w:t>cefalea</w:t>
      </w:r>
    </w:p>
    <w:p w14:paraId="40DC9A89" w14:textId="77777777" w:rsidR="00717EFC" w:rsidRPr="00DE07A1" w:rsidRDefault="00717EFC">
      <w:pPr>
        <w:pStyle w:val="Prrafodelista"/>
        <w:numPr>
          <w:ilvl w:val="2"/>
          <w:numId w:val="4"/>
        </w:numPr>
        <w:spacing w:after="0" w:line="360" w:lineRule="auto"/>
        <w:contextualSpacing/>
        <w:jc w:val="both"/>
        <w:rPr>
          <w:rFonts w:ascii="gobCL" w:hAnsi="gobCL"/>
        </w:rPr>
      </w:pPr>
      <w:r w:rsidRPr="00DE07A1">
        <w:rPr>
          <w:rFonts w:ascii="gobCL" w:hAnsi="gobCL"/>
        </w:rPr>
        <w:t>linfadenopatía</w:t>
      </w:r>
    </w:p>
    <w:p w14:paraId="6A214705" w14:textId="77777777" w:rsidR="00717EFC" w:rsidRPr="00DE07A1" w:rsidRDefault="00717EFC">
      <w:pPr>
        <w:pStyle w:val="Prrafodelista"/>
        <w:numPr>
          <w:ilvl w:val="2"/>
          <w:numId w:val="4"/>
        </w:numPr>
        <w:spacing w:after="0" w:line="360" w:lineRule="auto"/>
        <w:contextualSpacing/>
        <w:jc w:val="both"/>
        <w:rPr>
          <w:rFonts w:ascii="gobCL" w:hAnsi="gobCL"/>
        </w:rPr>
      </w:pPr>
      <w:r w:rsidRPr="00DE07A1">
        <w:rPr>
          <w:rFonts w:ascii="gobCL" w:hAnsi="gobCL"/>
        </w:rPr>
        <w:t>dolor lumbar</w:t>
      </w:r>
    </w:p>
    <w:p w14:paraId="19AE7A8A" w14:textId="77777777" w:rsidR="00717EFC" w:rsidRPr="00DE07A1" w:rsidRDefault="00717EFC">
      <w:pPr>
        <w:pStyle w:val="Prrafodelista"/>
        <w:numPr>
          <w:ilvl w:val="2"/>
          <w:numId w:val="4"/>
        </w:numPr>
        <w:spacing w:after="0" w:line="360" w:lineRule="auto"/>
        <w:contextualSpacing/>
        <w:jc w:val="both"/>
        <w:rPr>
          <w:rFonts w:ascii="gobCL" w:hAnsi="gobCL"/>
        </w:rPr>
      </w:pPr>
      <w:r w:rsidRPr="00DE07A1">
        <w:rPr>
          <w:rFonts w:ascii="gobCL" w:hAnsi="gobCL"/>
        </w:rPr>
        <w:t>astenia</w:t>
      </w:r>
    </w:p>
    <w:p w14:paraId="559FACF0" w14:textId="77777777" w:rsidR="00717EFC" w:rsidRPr="00DE07A1" w:rsidRDefault="00717EFC">
      <w:pPr>
        <w:pStyle w:val="Prrafodelista"/>
        <w:numPr>
          <w:ilvl w:val="2"/>
          <w:numId w:val="4"/>
        </w:numPr>
        <w:spacing w:after="0" w:line="360" w:lineRule="auto"/>
        <w:contextualSpacing/>
        <w:jc w:val="both"/>
        <w:rPr>
          <w:rFonts w:ascii="gobCL" w:hAnsi="gobCL"/>
        </w:rPr>
      </w:pPr>
      <w:r w:rsidRPr="00DE07A1">
        <w:rPr>
          <w:rFonts w:ascii="gobCL" w:hAnsi="gobCL"/>
        </w:rPr>
        <w:t>proctitis</w:t>
      </w:r>
    </w:p>
    <w:p w14:paraId="69BA64DA" w14:textId="77777777" w:rsidR="00717EFC" w:rsidRPr="00DE07A1" w:rsidRDefault="00717EFC" w:rsidP="00633475">
      <w:pPr>
        <w:spacing w:after="0" w:line="360" w:lineRule="auto"/>
        <w:jc w:val="both"/>
        <w:rPr>
          <w:rFonts w:ascii="gobCL" w:hAnsi="gobCL"/>
        </w:rPr>
      </w:pPr>
    </w:p>
    <w:p w14:paraId="2EBBEE17" w14:textId="465FC1EB" w:rsidR="00717EFC" w:rsidRPr="00DE07A1" w:rsidRDefault="00717EFC" w:rsidP="00991665">
      <w:pPr>
        <w:pStyle w:val="Prrafodelista"/>
        <w:spacing w:after="0" w:line="360" w:lineRule="auto"/>
        <w:ind w:left="1416"/>
        <w:jc w:val="both"/>
        <w:rPr>
          <w:rFonts w:ascii="gobCL" w:hAnsi="gobCL"/>
        </w:rPr>
      </w:pPr>
      <w:r w:rsidRPr="00DE07A1">
        <w:rPr>
          <w:rFonts w:ascii="gobCL" w:hAnsi="gobCL"/>
        </w:rPr>
        <w:t>El hallazgo o confirmación de otra enfermedad exantemática, no necesariamente debe descartar la sospecha, considerando la posibilidad de existir una coinfección. En sección 8 “Aspectos clínicos” se incluyen orientaciones de presentación clínica de los casos.</w:t>
      </w:r>
    </w:p>
    <w:p w14:paraId="629F27FD" w14:textId="77777777" w:rsidR="000F0007" w:rsidRPr="00DE07A1" w:rsidRDefault="000F0007" w:rsidP="00633475">
      <w:pPr>
        <w:spacing w:after="0" w:line="360" w:lineRule="auto"/>
        <w:ind w:left="360"/>
        <w:jc w:val="both"/>
        <w:rPr>
          <w:rFonts w:ascii="gobCL" w:hAnsi="gobCL"/>
        </w:rPr>
      </w:pPr>
    </w:p>
    <w:p w14:paraId="7AA9BB99" w14:textId="77777777" w:rsidR="00717EFC" w:rsidRPr="00DE07A1" w:rsidRDefault="00717EFC">
      <w:pPr>
        <w:pStyle w:val="Prrafodelista"/>
        <w:numPr>
          <w:ilvl w:val="1"/>
          <w:numId w:val="4"/>
        </w:numPr>
        <w:spacing w:after="0" w:line="360" w:lineRule="auto"/>
        <w:jc w:val="both"/>
        <w:rPr>
          <w:rFonts w:ascii="gobCL" w:hAnsi="gobCL"/>
          <w:b/>
        </w:rPr>
      </w:pPr>
      <w:r w:rsidRPr="00DE07A1">
        <w:rPr>
          <w:rFonts w:ascii="gobCL" w:hAnsi="gobCL"/>
          <w:b/>
        </w:rPr>
        <w:t xml:space="preserve">Definición B: </w:t>
      </w:r>
      <w:r w:rsidRPr="00DE07A1">
        <w:rPr>
          <w:rFonts w:ascii="gobCL" w:hAnsi="gobCL"/>
        </w:rPr>
        <w:t>Persona que inicia uno o más de los signos o síntomas prodrómicos descritos en definición A, con antecedente de contacto con caso confirmado durante los últimos 21 días.</w:t>
      </w:r>
    </w:p>
    <w:p w14:paraId="5C8ED537" w14:textId="77777777" w:rsidR="00717EFC" w:rsidRPr="00DE07A1" w:rsidRDefault="00717EFC" w:rsidP="00633475">
      <w:pPr>
        <w:spacing w:after="0" w:line="360" w:lineRule="auto"/>
        <w:jc w:val="both"/>
        <w:rPr>
          <w:rFonts w:ascii="gobCL" w:hAnsi="gobCL"/>
          <w:b/>
          <w:u w:val="single"/>
        </w:rPr>
      </w:pPr>
    </w:p>
    <w:p w14:paraId="083DB00E" w14:textId="49549BFE" w:rsidR="00483360" w:rsidRPr="00DE07A1" w:rsidRDefault="00717EFC">
      <w:pPr>
        <w:pStyle w:val="Prrafodelista"/>
        <w:numPr>
          <w:ilvl w:val="0"/>
          <w:numId w:val="4"/>
        </w:numPr>
        <w:spacing w:after="0" w:line="360" w:lineRule="auto"/>
        <w:jc w:val="both"/>
        <w:rPr>
          <w:rFonts w:ascii="gobCL" w:hAnsi="gobCL"/>
          <w:b/>
          <w:u w:val="single"/>
        </w:rPr>
      </w:pPr>
      <w:r w:rsidRPr="00DE07A1">
        <w:rPr>
          <w:rFonts w:ascii="gobCL" w:hAnsi="gobCL"/>
          <w:b/>
          <w:u w:val="single"/>
        </w:rPr>
        <w:t>Caso probable:</w:t>
      </w:r>
    </w:p>
    <w:p w14:paraId="54F79454" w14:textId="3ABE587C" w:rsidR="00483360" w:rsidRPr="00D925EB" w:rsidRDefault="00717EFC">
      <w:pPr>
        <w:pStyle w:val="Prrafodelista"/>
        <w:numPr>
          <w:ilvl w:val="1"/>
          <w:numId w:val="4"/>
        </w:numPr>
        <w:spacing w:after="0" w:line="360" w:lineRule="auto"/>
        <w:jc w:val="both"/>
        <w:rPr>
          <w:rFonts w:ascii="gobCL" w:hAnsi="gobCL"/>
          <w:b/>
          <w:u w:val="single"/>
        </w:rPr>
      </w:pPr>
      <w:r w:rsidRPr="00DE07A1">
        <w:rPr>
          <w:rFonts w:ascii="gobCL" w:hAnsi="gobCL"/>
          <w:b/>
        </w:rPr>
        <w:t xml:space="preserve">Definición A: </w:t>
      </w:r>
      <w:r w:rsidRPr="00DE07A1">
        <w:rPr>
          <w:rFonts w:ascii="gobCL" w:hAnsi="gobCL"/>
        </w:rPr>
        <w:t>Persona que cumple con la definición de caso sospechoso al cual no se realizó una toma de muestra para su confirmación, sin embargo, tiene antecedentes de riesgo evaluados por el equipo</w:t>
      </w:r>
      <w:r w:rsidRPr="00D925EB">
        <w:rPr>
          <w:rFonts w:ascii="gobCL" w:hAnsi="gobCL"/>
        </w:rPr>
        <w:t xml:space="preserve"> de epidemiología de SEREMI de Salud (ver sección evaluación de riesgos).</w:t>
      </w:r>
    </w:p>
    <w:p w14:paraId="33554FF5" w14:textId="77777777" w:rsidR="00483360" w:rsidRPr="00D925EB" w:rsidRDefault="00483360" w:rsidP="00483360">
      <w:pPr>
        <w:pStyle w:val="Prrafodelista"/>
        <w:spacing w:after="0" w:line="360" w:lineRule="auto"/>
        <w:ind w:left="1440"/>
        <w:jc w:val="both"/>
        <w:rPr>
          <w:rFonts w:ascii="gobCL" w:hAnsi="gobCL"/>
          <w:b/>
          <w:u w:val="single"/>
        </w:rPr>
      </w:pPr>
    </w:p>
    <w:p w14:paraId="6A94D5AC" w14:textId="175C8F71" w:rsidR="00717EFC" w:rsidRPr="00D925EB" w:rsidRDefault="00717EFC">
      <w:pPr>
        <w:pStyle w:val="Prrafodelista"/>
        <w:numPr>
          <w:ilvl w:val="1"/>
          <w:numId w:val="4"/>
        </w:numPr>
        <w:spacing w:after="0" w:line="360" w:lineRule="auto"/>
        <w:jc w:val="both"/>
        <w:rPr>
          <w:rFonts w:ascii="gobCL" w:hAnsi="gobCL"/>
          <w:b/>
          <w:u w:val="single"/>
        </w:rPr>
      </w:pPr>
      <w:r w:rsidRPr="00D925EB">
        <w:rPr>
          <w:rFonts w:ascii="gobCL" w:hAnsi="gobCL"/>
          <w:b/>
        </w:rPr>
        <w:t xml:space="preserve">Definición B: </w:t>
      </w:r>
      <w:r w:rsidRPr="00D925EB">
        <w:rPr>
          <w:rFonts w:ascii="gobCL" w:hAnsi="gobCL"/>
        </w:rPr>
        <w:t>Persona detectada retrospectivamente y que cumplía con la definición de caso sospechoso, por lo tanto, las pruebas disponibles para la confirmación ya no se pueden realizar porque las lesiones ya están sanas.</w:t>
      </w:r>
    </w:p>
    <w:p w14:paraId="2C97CB9B" w14:textId="77777777" w:rsidR="00991665" w:rsidRPr="00D925EB" w:rsidRDefault="00991665" w:rsidP="00483360">
      <w:pPr>
        <w:pStyle w:val="Prrafodelista"/>
        <w:spacing w:after="0" w:line="360" w:lineRule="auto"/>
        <w:ind w:left="1068"/>
        <w:jc w:val="both"/>
        <w:rPr>
          <w:rFonts w:ascii="gobCL" w:hAnsi="gobCL"/>
          <w:b/>
        </w:rPr>
      </w:pPr>
    </w:p>
    <w:p w14:paraId="038646B6" w14:textId="7847B8CC" w:rsidR="00717EFC" w:rsidRPr="00D925EB" w:rsidRDefault="00717EFC">
      <w:pPr>
        <w:pStyle w:val="Prrafodelista"/>
        <w:numPr>
          <w:ilvl w:val="0"/>
          <w:numId w:val="5"/>
        </w:numPr>
        <w:spacing w:after="0" w:line="360" w:lineRule="auto"/>
        <w:jc w:val="both"/>
        <w:rPr>
          <w:rFonts w:ascii="gobCL" w:hAnsi="gobCL"/>
          <w:b/>
          <w:u w:val="single"/>
        </w:rPr>
      </w:pPr>
      <w:r w:rsidRPr="00D925EB">
        <w:rPr>
          <w:rFonts w:ascii="gobCL" w:hAnsi="gobCL"/>
          <w:b/>
          <w:u w:val="single"/>
        </w:rPr>
        <w:lastRenderedPageBreak/>
        <w:t>Caso confirmado</w:t>
      </w:r>
      <w:r w:rsidR="00991665" w:rsidRPr="00D925EB">
        <w:rPr>
          <w:rFonts w:ascii="gobCL" w:hAnsi="gobCL"/>
          <w:b/>
          <w:u w:val="single"/>
        </w:rPr>
        <w:t xml:space="preserve">: </w:t>
      </w:r>
      <w:r w:rsidRPr="00D925EB">
        <w:rPr>
          <w:rFonts w:ascii="gobCL" w:hAnsi="gobCL"/>
        </w:rPr>
        <w:t>Persona con una prueba de diagnóstico molecular (PCR en tiempo real) positiva para el virus de la viruela del mono procesada en el ISP o en los laboratorios clínicos autorizados por el ISP.</w:t>
      </w:r>
    </w:p>
    <w:p w14:paraId="51536CE9" w14:textId="77777777" w:rsidR="00717EFC" w:rsidRPr="00D925EB" w:rsidRDefault="00717EFC" w:rsidP="00633475">
      <w:pPr>
        <w:spacing w:after="0" w:line="360" w:lineRule="auto"/>
        <w:jc w:val="both"/>
        <w:rPr>
          <w:rFonts w:ascii="gobCL" w:hAnsi="gobCL"/>
          <w:b/>
          <w:u w:val="single"/>
        </w:rPr>
      </w:pPr>
    </w:p>
    <w:p w14:paraId="1BBB7975" w14:textId="2E5136C3" w:rsidR="00717EFC" w:rsidRPr="00D925EB" w:rsidRDefault="00717EFC">
      <w:pPr>
        <w:pStyle w:val="Prrafodelista"/>
        <w:numPr>
          <w:ilvl w:val="0"/>
          <w:numId w:val="5"/>
        </w:numPr>
        <w:spacing w:after="0" w:line="360" w:lineRule="auto"/>
        <w:jc w:val="both"/>
        <w:rPr>
          <w:rFonts w:ascii="gobCL" w:hAnsi="gobCL"/>
          <w:b/>
          <w:u w:val="single"/>
        </w:rPr>
      </w:pPr>
      <w:r w:rsidRPr="00D925EB">
        <w:rPr>
          <w:rFonts w:ascii="gobCL" w:hAnsi="gobCL"/>
          <w:b/>
          <w:u w:val="single"/>
        </w:rPr>
        <w:t>Caso descartado</w:t>
      </w:r>
      <w:r w:rsidR="00991665" w:rsidRPr="00D925EB">
        <w:rPr>
          <w:rFonts w:ascii="gobCL" w:hAnsi="gobCL"/>
          <w:b/>
          <w:u w:val="single"/>
        </w:rPr>
        <w:t xml:space="preserve">: </w:t>
      </w:r>
      <w:r w:rsidRPr="00D925EB">
        <w:rPr>
          <w:rFonts w:ascii="gobCL" w:hAnsi="gobCL"/>
        </w:rPr>
        <w:t>Caso sospechoso que:</w:t>
      </w:r>
    </w:p>
    <w:p w14:paraId="022F3FF8" w14:textId="77777777" w:rsidR="00717EFC" w:rsidRPr="00D925EB" w:rsidRDefault="00717EFC">
      <w:pPr>
        <w:pStyle w:val="Prrafodelista"/>
        <w:numPr>
          <w:ilvl w:val="1"/>
          <w:numId w:val="5"/>
        </w:numPr>
        <w:spacing w:after="0" w:line="360" w:lineRule="auto"/>
        <w:contextualSpacing/>
        <w:jc w:val="both"/>
        <w:rPr>
          <w:rFonts w:ascii="gobCL" w:hAnsi="gobCL"/>
        </w:rPr>
      </w:pPr>
      <w:r w:rsidRPr="00D925EB">
        <w:rPr>
          <w:rFonts w:ascii="gobCL" w:hAnsi="gobCL"/>
        </w:rPr>
        <w:t>Las pruebas moleculares (PCR en tiempo real) fueron negativas para viruela del mono en el ISP o en los laboratorios clínicos definidos por MINSAL y autorizados por el ISP.</w:t>
      </w:r>
    </w:p>
    <w:p w14:paraId="69B5C4FD" w14:textId="77777777" w:rsidR="00717EFC" w:rsidRPr="00D925EB" w:rsidRDefault="00717EFC" w:rsidP="00483360">
      <w:pPr>
        <w:pStyle w:val="Prrafodelista"/>
        <w:spacing w:after="0" w:line="360" w:lineRule="auto"/>
        <w:ind w:left="1440"/>
        <w:jc w:val="both"/>
        <w:rPr>
          <w:rFonts w:ascii="gobCL" w:hAnsi="gobCL"/>
        </w:rPr>
      </w:pPr>
      <w:r w:rsidRPr="00D925EB">
        <w:rPr>
          <w:rFonts w:ascii="gobCL" w:hAnsi="gobCL"/>
        </w:rPr>
        <w:t>Y</w:t>
      </w:r>
    </w:p>
    <w:p w14:paraId="6A9BEDF5" w14:textId="6A6311D5" w:rsidR="00146CDB" w:rsidRPr="00D925EB" w:rsidRDefault="00717EFC">
      <w:pPr>
        <w:pStyle w:val="Prrafodelista"/>
        <w:numPr>
          <w:ilvl w:val="1"/>
          <w:numId w:val="5"/>
        </w:numPr>
        <w:spacing w:after="0" w:line="360" w:lineRule="auto"/>
        <w:contextualSpacing/>
        <w:jc w:val="both"/>
        <w:rPr>
          <w:rFonts w:ascii="gobCL" w:hAnsi="gobCL"/>
        </w:rPr>
      </w:pPr>
      <w:r w:rsidRPr="00D925EB">
        <w:rPr>
          <w:rFonts w:ascii="gobCL" w:hAnsi="gobCL"/>
        </w:rPr>
        <w:t>No cumple con la definición de “caso probable” según la evaluación de la Autoridad Sanitaria Regional.</w:t>
      </w:r>
    </w:p>
    <w:p w14:paraId="75DD080E" w14:textId="77777777" w:rsidR="00717EFC" w:rsidRPr="00D925EB" w:rsidRDefault="00717EFC" w:rsidP="00633475">
      <w:pPr>
        <w:spacing w:after="0" w:line="360" w:lineRule="auto"/>
        <w:jc w:val="both"/>
        <w:rPr>
          <w:rFonts w:ascii="gobCL" w:hAnsi="gobCL"/>
          <w:b/>
          <w:u w:val="single"/>
        </w:rPr>
      </w:pPr>
    </w:p>
    <w:p w14:paraId="5EF6C30B" w14:textId="6346D3FD" w:rsidR="00717EFC" w:rsidRPr="00D925EB" w:rsidRDefault="00717EFC">
      <w:pPr>
        <w:pStyle w:val="Prrafodelista"/>
        <w:numPr>
          <w:ilvl w:val="0"/>
          <w:numId w:val="5"/>
        </w:numPr>
        <w:spacing w:after="0" w:line="360" w:lineRule="auto"/>
        <w:jc w:val="both"/>
        <w:rPr>
          <w:rFonts w:ascii="gobCL" w:hAnsi="gobCL"/>
          <w:b/>
          <w:u w:val="single"/>
        </w:rPr>
      </w:pPr>
      <w:r w:rsidRPr="00D925EB">
        <w:rPr>
          <w:rFonts w:ascii="gobCL" w:hAnsi="gobCL"/>
          <w:b/>
          <w:u w:val="single"/>
        </w:rPr>
        <w:t>Contacto</w:t>
      </w:r>
      <w:r w:rsidR="00991665" w:rsidRPr="00D925EB">
        <w:rPr>
          <w:rFonts w:ascii="gobCL" w:hAnsi="gobCL"/>
          <w:b/>
          <w:u w:val="single"/>
        </w:rPr>
        <w:t xml:space="preserve">: </w:t>
      </w:r>
      <w:r w:rsidRPr="00D925EB">
        <w:rPr>
          <w:rFonts w:ascii="gobCL" w:hAnsi="gobCL"/>
        </w:rPr>
        <w:t>Persona que estuvo expuesta a un caso probable o confirmado de viruela del mono durante el período de transmisibilidad, considerado desde el inicio del exantema hasta que las lesiones sanen.</w:t>
      </w:r>
    </w:p>
    <w:p w14:paraId="3BA557A9" w14:textId="77777777" w:rsidR="00717EFC" w:rsidRPr="00D925EB" w:rsidRDefault="00717EFC" w:rsidP="00A0766D">
      <w:pPr>
        <w:spacing w:after="0" w:line="360" w:lineRule="auto"/>
        <w:ind w:left="360"/>
        <w:jc w:val="both"/>
        <w:rPr>
          <w:rFonts w:ascii="gobCL" w:hAnsi="gobCL"/>
        </w:rPr>
      </w:pPr>
      <w:r w:rsidRPr="00D925EB">
        <w:rPr>
          <w:rFonts w:ascii="gobCL" w:hAnsi="gobCL"/>
        </w:rPr>
        <w:t>Se considera como exposición, las siguientes situaciones:</w:t>
      </w:r>
    </w:p>
    <w:p w14:paraId="5120BFFE" w14:textId="77777777" w:rsidR="00717EFC" w:rsidRPr="00D925EB" w:rsidRDefault="00717EFC">
      <w:pPr>
        <w:numPr>
          <w:ilvl w:val="0"/>
          <w:numId w:val="5"/>
        </w:numPr>
        <w:spacing w:after="0" w:line="360" w:lineRule="auto"/>
        <w:jc w:val="both"/>
        <w:rPr>
          <w:rFonts w:ascii="gobCL" w:hAnsi="gobCL"/>
        </w:rPr>
      </w:pPr>
      <w:r w:rsidRPr="00D925EB">
        <w:rPr>
          <w:rFonts w:ascii="gobCL" w:hAnsi="gobCL"/>
        </w:rPr>
        <w:t>Haber tenido contacto físico prolongado con el cuerpo, fluidos corporales o costras de las lesiones exantemáticas.</w:t>
      </w:r>
    </w:p>
    <w:p w14:paraId="707245B1" w14:textId="77777777" w:rsidR="00717EFC" w:rsidRPr="00D925EB" w:rsidRDefault="00717EFC">
      <w:pPr>
        <w:numPr>
          <w:ilvl w:val="0"/>
          <w:numId w:val="5"/>
        </w:numPr>
        <w:spacing w:after="0" w:line="360" w:lineRule="auto"/>
        <w:jc w:val="both"/>
        <w:rPr>
          <w:rFonts w:ascii="gobCL" w:hAnsi="gobCL"/>
        </w:rPr>
      </w:pPr>
      <w:r w:rsidRPr="00D925EB">
        <w:rPr>
          <w:rFonts w:ascii="gobCL" w:hAnsi="gobCL"/>
        </w:rPr>
        <w:t>En personal de salud, brindar atención de salud directa a un caso confirmado o probable, sin cumplir con las precauciones adicionales de contacto y gotas, considerando al menos el uso de mascarillas quirúrgicas, protección ocular, guantes impermeables y bata impermeable de manga larga. Si se realiza un procedimiento generador de aerosoles de mayor riesgo, se considera el uso de respirador de alta eficiencia tipo N95 o equivalente en reemplazo de la mascarilla quirúrgica.</w:t>
      </w:r>
    </w:p>
    <w:p w14:paraId="6AE89002" w14:textId="77777777" w:rsidR="00717EFC" w:rsidRPr="00D925EB" w:rsidRDefault="00717EFC">
      <w:pPr>
        <w:numPr>
          <w:ilvl w:val="0"/>
          <w:numId w:val="5"/>
        </w:numPr>
        <w:spacing w:after="0" w:line="360" w:lineRule="auto"/>
        <w:jc w:val="both"/>
        <w:rPr>
          <w:rFonts w:ascii="gobCL" w:hAnsi="gobCL"/>
        </w:rPr>
      </w:pPr>
      <w:r w:rsidRPr="00D925EB">
        <w:rPr>
          <w:rFonts w:ascii="gobCL" w:hAnsi="gobCL"/>
        </w:rPr>
        <w:t>Manipular vestimenta, ropa de cama, desechos y utensilios sin el uso de precauciones adicionales de contacto y gotas; al menos mascarilla quirúrgica, bata manga larga impermeable, protección ocular y guantes impermeables.</w:t>
      </w:r>
    </w:p>
    <w:p w14:paraId="76E98E8A" w14:textId="77777777" w:rsidR="00717EFC" w:rsidRPr="00D925EB" w:rsidRDefault="00717EFC">
      <w:pPr>
        <w:numPr>
          <w:ilvl w:val="0"/>
          <w:numId w:val="5"/>
        </w:numPr>
        <w:spacing w:after="0" w:line="360" w:lineRule="auto"/>
        <w:jc w:val="both"/>
        <w:rPr>
          <w:rFonts w:ascii="gobCL" w:hAnsi="gobCL"/>
        </w:rPr>
      </w:pPr>
      <w:bookmarkStart w:id="8" w:name="_Hlk112084160"/>
      <w:r w:rsidRPr="00D925EB">
        <w:rPr>
          <w:rFonts w:ascii="gobCL" w:hAnsi="gobCL"/>
        </w:rPr>
        <w:t>Otras situaciones de riesgo que la Autoridad Sanitara estimen pertinente en base a la investigación epidemiológica</w:t>
      </w:r>
      <w:bookmarkEnd w:id="8"/>
      <w:r w:rsidRPr="00D925EB">
        <w:rPr>
          <w:rFonts w:ascii="gobCL" w:hAnsi="gobCL"/>
        </w:rPr>
        <w:t>.</w:t>
      </w:r>
    </w:p>
    <w:p w14:paraId="790E4109" w14:textId="77777777" w:rsidR="00717EFC" w:rsidRPr="00D925EB" w:rsidRDefault="00717EFC" w:rsidP="00633475">
      <w:pPr>
        <w:spacing w:after="0" w:line="360" w:lineRule="auto"/>
        <w:jc w:val="both"/>
        <w:rPr>
          <w:rFonts w:ascii="gobCL" w:hAnsi="gobCL"/>
        </w:rPr>
      </w:pPr>
    </w:p>
    <w:p w14:paraId="4698C87C" w14:textId="5B5D4625" w:rsidR="00991665" w:rsidRPr="00D925EB" w:rsidRDefault="00717EFC">
      <w:pPr>
        <w:pStyle w:val="Prrafodelista"/>
        <w:numPr>
          <w:ilvl w:val="0"/>
          <w:numId w:val="5"/>
        </w:numPr>
        <w:spacing w:after="0" w:line="360" w:lineRule="auto"/>
        <w:jc w:val="both"/>
        <w:rPr>
          <w:rFonts w:ascii="gobCL" w:hAnsi="gobCL"/>
        </w:rPr>
      </w:pPr>
      <w:r w:rsidRPr="00D925EB">
        <w:rPr>
          <w:rFonts w:ascii="gobCL" w:hAnsi="gobCL"/>
        </w:rPr>
        <w:t xml:space="preserve">Los contactos clasificados de </w:t>
      </w:r>
      <w:r w:rsidRPr="00D925EB">
        <w:rPr>
          <w:rFonts w:ascii="gobCL" w:hAnsi="gobCL"/>
          <w:b/>
        </w:rPr>
        <w:t>alto riesgo</w:t>
      </w:r>
      <w:r w:rsidRPr="00D925EB">
        <w:rPr>
          <w:rFonts w:ascii="gobCL" w:hAnsi="gobCL"/>
        </w:rPr>
        <w:t xml:space="preserve"> son los consignados en la letra a) y b) mientras que los contactos clasificados de </w:t>
      </w:r>
      <w:r w:rsidRPr="00D925EB">
        <w:rPr>
          <w:rFonts w:ascii="gobCL" w:hAnsi="gobCL"/>
          <w:b/>
        </w:rPr>
        <w:t>bajo riesgo</w:t>
      </w:r>
      <w:r w:rsidRPr="00D925EB">
        <w:rPr>
          <w:rFonts w:ascii="gobCL" w:hAnsi="gobCL"/>
        </w:rPr>
        <w:t xml:space="preserve"> son los consignados con las letras c). Los contactos que cumplan con la clasificación d) podrán ser clasificados de alto o bajo riesgo según la autoridad sanitaria regional.</w:t>
      </w:r>
    </w:p>
    <w:p w14:paraId="110F39B3" w14:textId="77777777" w:rsidR="00991665" w:rsidRPr="00D925EB" w:rsidRDefault="00991665" w:rsidP="00E235CB">
      <w:pPr>
        <w:spacing w:after="0" w:line="360" w:lineRule="auto"/>
        <w:jc w:val="both"/>
        <w:rPr>
          <w:rFonts w:ascii="gobCL" w:hAnsi="gobCL"/>
          <w:b/>
          <w:u w:val="single"/>
        </w:rPr>
      </w:pPr>
    </w:p>
    <w:p w14:paraId="5D4D154F" w14:textId="500E900C" w:rsidR="00E235CB" w:rsidRPr="00D925EB" w:rsidRDefault="00E235CB">
      <w:pPr>
        <w:pStyle w:val="Prrafodelista"/>
        <w:numPr>
          <w:ilvl w:val="0"/>
          <w:numId w:val="5"/>
        </w:numPr>
        <w:spacing w:after="0" w:line="360" w:lineRule="auto"/>
        <w:jc w:val="both"/>
        <w:rPr>
          <w:rFonts w:ascii="gobCL" w:hAnsi="gobCL"/>
          <w:b/>
          <w:u w:val="single"/>
        </w:rPr>
      </w:pPr>
      <w:r w:rsidRPr="00D925EB">
        <w:rPr>
          <w:rFonts w:ascii="gobCL" w:hAnsi="gobCL"/>
          <w:b/>
          <w:u w:val="single"/>
        </w:rPr>
        <w:lastRenderedPageBreak/>
        <w:t>Aislamiento</w:t>
      </w:r>
      <w:r w:rsidR="00991665" w:rsidRPr="00D925EB">
        <w:rPr>
          <w:rFonts w:ascii="gobCL" w:hAnsi="gobCL"/>
          <w:b/>
        </w:rPr>
        <w:t xml:space="preserve">: </w:t>
      </w:r>
      <w:r w:rsidRPr="00D925EB">
        <w:rPr>
          <w:rFonts w:ascii="gobCL" w:hAnsi="gobCL"/>
        </w:rPr>
        <w:t xml:space="preserve">Separación física y restricción del movimiento a un espacio determinado de personas contagiadas de viruela del mono, con la finalidad de evitar propagación de la enfermedad a otras personas sanas. </w:t>
      </w:r>
    </w:p>
    <w:p w14:paraId="71376FA8" w14:textId="77777777" w:rsidR="00E235CB" w:rsidRPr="00D925EB" w:rsidRDefault="00E235CB" w:rsidP="00E235CB">
      <w:pPr>
        <w:spacing w:after="0" w:line="360" w:lineRule="auto"/>
        <w:jc w:val="both"/>
        <w:rPr>
          <w:rFonts w:ascii="gobCL" w:hAnsi="gobCL"/>
        </w:rPr>
      </w:pPr>
    </w:p>
    <w:p w14:paraId="167C350C" w14:textId="0379CC40" w:rsidR="00121D94" w:rsidRPr="00D925EB" w:rsidRDefault="00E235CB">
      <w:pPr>
        <w:pStyle w:val="Prrafodelista"/>
        <w:numPr>
          <w:ilvl w:val="0"/>
          <w:numId w:val="5"/>
        </w:numPr>
        <w:spacing w:after="0" w:line="360" w:lineRule="auto"/>
        <w:jc w:val="both"/>
        <w:rPr>
          <w:rFonts w:ascii="gobCL" w:hAnsi="gobCL"/>
          <w:b/>
          <w:u w:val="single"/>
        </w:rPr>
      </w:pPr>
      <w:r w:rsidRPr="00D925EB">
        <w:rPr>
          <w:rFonts w:ascii="gobCL" w:hAnsi="gobCL"/>
          <w:b/>
          <w:u w:val="single"/>
        </w:rPr>
        <w:t>Alta epidemiológica</w:t>
      </w:r>
      <w:r w:rsidR="00991665" w:rsidRPr="00D925EB">
        <w:rPr>
          <w:rFonts w:ascii="gobCL" w:hAnsi="gobCL"/>
          <w:b/>
          <w:u w:val="single"/>
        </w:rPr>
        <w:t>:</w:t>
      </w:r>
      <w:r w:rsidR="00991665" w:rsidRPr="00D925EB">
        <w:rPr>
          <w:rFonts w:ascii="gobCL" w:hAnsi="gobCL"/>
          <w:b/>
        </w:rPr>
        <w:t xml:space="preserve"> </w:t>
      </w:r>
      <w:r w:rsidRPr="00D925EB">
        <w:rPr>
          <w:rFonts w:ascii="gobCL" w:hAnsi="gobCL"/>
        </w:rPr>
        <w:t>Alta recibida por criterios epidemiológicos, es decir, cuando la persona enferma ya no representa un riesgo de contagio para el resto de la población. En el caso de la viruela del mono ésta se consigue alrededor de los 21 días desde el inicio del exantema, cuando todas las lesiones costrosas han caído y crece piel sana en su lugar, además debe contar con una evaluación médica que acredite dicho estado.</w:t>
      </w:r>
    </w:p>
    <w:p w14:paraId="18324C81" w14:textId="360BDB5C" w:rsidR="003576C0" w:rsidRPr="00D925EB" w:rsidRDefault="003576C0">
      <w:pPr>
        <w:pStyle w:val="Prrafodelista"/>
        <w:numPr>
          <w:ilvl w:val="0"/>
          <w:numId w:val="5"/>
        </w:numPr>
        <w:spacing w:after="0" w:line="360" w:lineRule="auto"/>
        <w:jc w:val="both"/>
        <w:rPr>
          <w:rFonts w:ascii="gobCL" w:hAnsi="gobCL"/>
        </w:rPr>
      </w:pPr>
      <w:r w:rsidRPr="00D925EB">
        <w:rPr>
          <w:rFonts w:ascii="gobCL" w:eastAsia="Times New Roman" w:hAnsi="gobCL"/>
          <w:b/>
          <w:bCs/>
          <w:color w:val="0070C0"/>
          <w:lang w:eastAsia="es-CL"/>
        </w:rPr>
        <w:br w:type="page"/>
      </w:r>
    </w:p>
    <w:p w14:paraId="62FF99DF" w14:textId="3EF83EF0" w:rsidR="00D84BE0" w:rsidRPr="00D925EB" w:rsidRDefault="00BF4DA5">
      <w:pPr>
        <w:pStyle w:val="Ttulo1"/>
        <w:numPr>
          <w:ilvl w:val="0"/>
          <w:numId w:val="2"/>
        </w:numPr>
        <w:spacing w:before="0" w:line="360" w:lineRule="auto"/>
        <w:rPr>
          <w:rFonts w:ascii="gobCL" w:eastAsia="Times New Roman" w:hAnsi="gobCL"/>
          <w:b/>
          <w:bCs/>
          <w:color w:val="0070C0"/>
          <w:lang w:eastAsia="es-CL"/>
        </w:rPr>
      </w:pPr>
      <w:bookmarkStart w:id="9" w:name="_Toc115441226"/>
      <w:r w:rsidRPr="00D925EB">
        <w:rPr>
          <w:rFonts w:ascii="gobCL" w:eastAsia="Times New Roman" w:hAnsi="gobCL"/>
          <w:b/>
          <w:bCs/>
          <w:color w:val="0070C0"/>
          <w:lang w:eastAsia="es-CL"/>
        </w:rPr>
        <w:lastRenderedPageBreak/>
        <w:t>REFERENCIAS</w:t>
      </w:r>
      <w:bookmarkEnd w:id="9"/>
    </w:p>
    <w:sectPr w:rsidR="00D84BE0" w:rsidRPr="00D925EB" w:rsidSect="00717EFC">
      <w:headerReference w:type="default" r:id="rId19"/>
      <w:footerReference w:type="default" r:id="rId20"/>
      <w:endnotePr>
        <w:numFmt w:val="decimal"/>
      </w:endnotePr>
      <w:type w:val="continuous"/>
      <w:pgSz w:w="12240" w:h="15840" w:code="1"/>
      <w:pgMar w:top="1440" w:right="1080" w:bottom="1135"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918B5" w14:textId="77777777" w:rsidR="00D8021B" w:rsidRDefault="00D8021B" w:rsidP="00031B4B">
      <w:pPr>
        <w:spacing w:after="0"/>
      </w:pPr>
      <w:r>
        <w:separator/>
      </w:r>
    </w:p>
  </w:endnote>
  <w:endnote w:type="continuationSeparator" w:id="0">
    <w:p w14:paraId="36B9B112" w14:textId="77777777" w:rsidR="00D8021B" w:rsidRDefault="00D8021B" w:rsidP="00031B4B">
      <w:pPr>
        <w:spacing w:after="0"/>
      </w:pPr>
      <w:r>
        <w:continuationSeparator/>
      </w:r>
    </w:p>
  </w:endnote>
  <w:endnote w:id="1">
    <w:p w14:paraId="5EA5B10E" w14:textId="7CD6428D" w:rsidR="00775B97" w:rsidRPr="00D925EB" w:rsidRDefault="00775B97">
      <w:pPr>
        <w:pStyle w:val="Textonotaalfinal"/>
        <w:numPr>
          <w:ilvl w:val="0"/>
          <w:numId w:val="3"/>
        </w:numPr>
        <w:spacing w:line="360" w:lineRule="auto"/>
        <w:jc w:val="both"/>
        <w:rPr>
          <w:rFonts w:ascii="gobCL" w:hAnsi="gobCL"/>
          <w:sz w:val="22"/>
          <w:szCs w:val="22"/>
          <w:lang w:val="es-MX"/>
        </w:rPr>
      </w:pPr>
      <w:r w:rsidRPr="00D925EB">
        <w:rPr>
          <w:rFonts w:ascii="gobCL" w:hAnsi="gobCL"/>
          <w:sz w:val="22"/>
          <w:szCs w:val="22"/>
        </w:rPr>
        <w:t xml:space="preserve">MINSAL. </w:t>
      </w:r>
      <w:r w:rsidRPr="00D925EB">
        <w:rPr>
          <w:rFonts w:ascii="gobCL" w:hAnsi="gobCL"/>
          <w:sz w:val="22"/>
          <w:szCs w:val="22"/>
          <w:lang w:val="es-MX"/>
        </w:rPr>
        <w:t xml:space="preserve">Departamento de Epidemiología. Protocolo de vigilancia epidemiológica de viruela del mono. Disponible en: </w:t>
      </w:r>
      <w:hyperlink r:id="rId1" w:history="1">
        <w:r w:rsidRPr="00D925EB">
          <w:rPr>
            <w:rStyle w:val="Hipervnculo"/>
            <w:rFonts w:ascii="gobCL" w:hAnsi="gobCL"/>
            <w:sz w:val="22"/>
            <w:szCs w:val="22"/>
            <w:lang w:val="es-MX"/>
          </w:rPr>
          <w:t>http://epi.minsal.cl/wp-content/uploads/2022/08/Protocolo_vigilancia_viruela_del_mono_22082022.pdf</w:t>
        </w:r>
      </w:hyperlink>
    </w:p>
  </w:endnote>
  <w:endnote w:id="2">
    <w:p w14:paraId="34F7B66D" w14:textId="42C41475" w:rsidR="00775B97" w:rsidRPr="00D925EB" w:rsidRDefault="00775B97">
      <w:pPr>
        <w:pStyle w:val="Textonotaalfinal"/>
        <w:numPr>
          <w:ilvl w:val="0"/>
          <w:numId w:val="3"/>
        </w:numPr>
        <w:spacing w:line="360" w:lineRule="auto"/>
        <w:jc w:val="both"/>
        <w:rPr>
          <w:rFonts w:ascii="gobCL" w:hAnsi="gobCL"/>
          <w:sz w:val="22"/>
          <w:szCs w:val="22"/>
        </w:rPr>
      </w:pPr>
      <w:r w:rsidRPr="00D925EB">
        <w:rPr>
          <w:rFonts w:ascii="gobCL" w:hAnsi="gobCL"/>
          <w:sz w:val="22"/>
          <w:szCs w:val="22"/>
        </w:rPr>
        <w:t xml:space="preserve">Instituto Nacional de Estadísticas. Demográficas y Vitales. Proyecciones de Población. Disponible en: </w:t>
      </w:r>
      <w:hyperlink r:id="rId2" w:history="1">
        <w:r w:rsidRPr="00D925EB">
          <w:rPr>
            <w:rStyle w:val="Hipervnculo"/>
            <w:rFonts w:ascii="gobCL" w:hAnsi="gobCL"/>
            <w:sz w:val="22"/>
            <w:szCs w:val="22"/>
          </w:rPr>
          <w:t>https://www.ine.cl/estadisticas/sociales/demografia-y-vitales/proyecciones-de-poblacion</w:t>
        </w:r>
      </w:hyperlink>
    </w:p>
    <w:p w14:paraId="0F64C29F" w14:textId="77777777" w:rsidR="00775B97" w:rsidRPr="000B59CB" w:rsidRDefault="00775B97" w:rsidP="00D84BE0">
      <w:pPr>
        <w:pStyle w:val="Textonotaalfinal"/>
        <w:rPr>
          <w:lang w:val="es-MX"/>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bCL">
    <w:altName w:val="Calibri"/>
    <w:panose1 w:val="00000000000000000000"/>
    <w:charset w:val="00"/>
    <w:family w:val="modern"/>
    <w:notTrueType/>
    <w:pitch w:val="variable"/>
    <w:sig w:usb0="A000002F" w:usb1="4000005B" w:usb2="00000000" w:usb3="00000000" w:csb0="0000011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bCL-Bold">
    <w:altName w:val="Calibri"/>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295655"/>
      <w:docPartObj>
        <w:docPartGallery w:val="Page Numbers (Bottom of Page)"/>
        <w:docPartUnique/>
      </w:docPartObj>
    </w:sdtPr>
    <w:sdtEndPr/>
    <w:sdtContent>
      <w:p w14:paraId="1C7A09E8" w14:textId="4E7B401F" w:rsidR="00775B97" w:rsidRDefault="00775B97">
        <w:pPr>
          <w:pStyle w:val="Piedepgina"/>
          <w:jc w:val="right"/>
        </w:pPr>
        <w:r>
          <w:fldChar w:fldCharType="begin"/>
        </w:r>
        <w:r>
          <w:instrText>PAGE   \* MERGEFORMAT</w:instrText>
        </w:r>
        <w:r>
          <w:fldChar w:fldCharType="separate"/>
        </w:r>
        <w:r w:rsidR="00DE07A1" w:rsidRPr="00DE07A1">
          <w:rPr>
            <w:noProof/>
            <w:lang w:val="es-ES"/>
          </w:rPr>
          <w:t>23</w:t>
        </w:r>
        <w:r>
          <w:fldChar w:fldCharType="end"/>
        </w:r>
      </w:p>
    </w:sdtContent>
  </w:sdt>
  <w:p w14:paraId="4B4F7E6E" w14:textId="77777777" w:rsidR="00775B97" w:rsidRDefault="00775B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E9BA9" w14:textId="77777777" w:rsidR="00D8021B" w:rsidRDefault="00D8021B" w:rsidP="00031B4B">
      <w:pPr>
        <w:spacing w:after="0"/>
      </w:pPr>
      <w:r>
        <w:separator/>
      </w:r>
    </w:p>
  </w:footnote>
  <w:footnote w:type="continuationSeparator" w:id="0">
    <w:p w14:paraId="41B311A0" w14:textId="77777777" w:rsidR="00D8021B" w:rsidRDefault="00D8021B" w:rsidP="00031B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56FD" w14:textId="77777777" w:rsidR="00775B97" w:rsidRPr="00230C46" w:rsidRDefault="00775B97" w:rsidP="00314644">
    <w:pPr>
      <w:pStyle w:val="Encabezado"/>
      <w:spacing w:after="0"/>
      <w:ind w:left="993" w:right="1417"/>
      <w:rPr>
        <w:rFonts w:ascii="Corbel" w:hAnsi="Corbel"/>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2308"/>
    <w:multiLevelType w:val="hybridMultilevel"/>
    <w:tmpl w:val="354E5FD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05105B8"/>
    <w:multiLevelType w:val="hybridMultilevel"/>
    <w:tmpl w:val="3646A49E"/>
    <w:lvl w:ilvl="0" w:tplc="64DA84C0">
      <w:start w:val="5"/>
      <w:numFmt w:val="bullet"/>
      <w:lvlText w:val="•"/>
      <w:lvlJc w:val="left"/>
      <w:pPr>
        <w:ind w:left="1065" w:hanging="705"/>
      </w:pPr>
      <w:rPr>
        <w:rFonts w:ascii="gobCL" w:eastAsia="Times New Roman" w:hAnsi="gobC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2683B41"/>
    <w:multiLevelType w:val="hybridMultilevel"/>
    <w:tmpl w:val="3D3C87A8"/>
    <w:lvl w:ilvl="0" w:tplc="3544D35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B5037BC"/>
    <w:multiLevelType w:val="hybridMultilevel"/>
    <w:tmpl w:val="868662BE"/>
    <w:lvl w:ilvl="0" w:tplc="18EA2F5E">
      <w:numFmt w:val="bullet"/>
      <w:lvlText w:val="-"/>
      <w:lvlJc w:val="left"/>
      <w:pPr>
        <w:ind w:left="360" w:hanging="360"/>
      </w:pPr>
      <w:rPr>
        <w:rFonts w:ascii="gobCL" w:eastAsia="Times New Roman" w:hAnsi="gobCL"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48D84B7A"/>
    <w:multiLevelType w:val="hybridMultilevel"/>
    <w:tmpl w:val="BCAE11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69B33448"/>
    <w:multiLevelType w:val="hybridMultilevel"/>
    <w:tmpl w:val="D6D2F1C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9242BE9"/>
    <w:multiLevelType w:val="hybridMultilevel"/>
    <w:tmpl w:val="B00A14A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16cid:durableId="1448624024">
    <w:abstractNumId w:val="3"/>
  </w:num>
  <w:num w:numId="2" w16cid:durableId="561872083">
    <w:abstractNumId w:val="2"/>
  </w:num>
  <w:num w:numId="3" w16cid:durableId="328994386">
    <w:abstractNumId w:val="6"/>
  </w:num>
  <w:num w:numId="4" w16cid:durableId="1183281305">
    <w:abstractNumId w:val="5"/>
  </w:num>
  <w:num w:numId="5" w16cid:durableId="1561746549">
    <w:abstractNumId w:val="0"/>
  </w:num>
  <w:num w:numId="6" w16cid:durableId="427164023">
    <w:abstractNumId w:val="4"/>
  </w:num>
  <w:num w:numId="7" w16cid:durableId="112966151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E7"/>
    <w:rsid w:val="0000127A"/>
    <w:rsid w:val="00003A47"/>
    <w:rsid w:val="00004D99"/>
    <w:rsid w:val="0000550D"/>
    <w:rsid w:val="00006FD4"/>
    <w:rsid w:val="000101FF"/>
    <w:rsid w:val="00010B92"/>
    <w:rsid w:val="00010E47"/>
    <w:rsid w:val="00010EB1"/>
    <w:rsid w:val="00013A94"/>
    <w:rsid w:val="000140DE"/>
    <w:rsid w:val="00017EB6"/>
    <w:rsid w:val="00017F61"/>
    <w:rsid w:val="00020ADB"/>
    <w:rsid w:val="00021C5C"/>
    <w:rsid w:val="000224DA"/>
    <w:rsid w:val="00022752"/>
    <w:rsid w:val="000232F7"/>
    <w:rsid w:val="00024C9F"/>
    <w:rsid w:val="00024EB9"/>
    <w:rsid w:val="0002553E"/>
    <w:rsid w:val="00026A92"/>
    <w:rsid w:val="00027372"/>
    <w:rsid w:val="00031B4B"/>
    <w:rsid w:val="000324F0"/>
    <w:rsid w:val="00032A74"/>
    <w:rsid w:val="00033C54"/>
    <w:rsid w:val="00033F8A"/>
    <w:rsid w:val="000349EB"/>
    <w:rsid w:val="00034D3D"/>
    <w:rsid w:val="00034D8E"/>
    <w:rsid w:val="000351BC"/>
    <w:rsid w:val="0004080F"/>
    <w:rsid w:val="00041EE0"/>
    <w:rsid w:val="00042704"/>
    <w:rsid w:val="000438E8"/>
    <w:rsid w:val="00043C6E"/>
    <w:rsid w:val="000443E6"/>
    <w:rsid w:val="00045C2C"/>
    <w:rsid w:val="000461B4"/>
    <w:rsid w:val="0004641D"/>
    <w:rsid w:val="00046A9F"/>
    <w:rsid w:val="00046AE2"/>
    <w:rsid w:val="000474DD"/>
    <w:rsid w:val="00047D5C"/>
    <w:rsid w:val="00050AD0"/>
    <w:rsid w:val="000524B0"/>
    <w:rsid w:val="000524C5"/>
    <w:rsid w:val="00052B09"/>
    <w:rsid w:val="00054C26"/>
    <w:rsid w:val="00056132"/>
    <w:rsid w:val="00056BAD"/>
    <w:rsid w:val="00056D2F"/>
    <w:rsid w:val="000570DA"/>
    <w:rsid w:val="00061744"/>
    <w:rsid w:val="0006192C"/>
    <w:rsid w:val="00061960"/>
    <w:rsid w:val="00061DDF"/>
    <w:rsid w:val="000620B1"/>
    <w:rsid w:val="00062126"/>
    <w:rsid w:val="00064809"/>
    <w:rsid w:val="00064F70"/>
    <w:rsid w:val="00065032"/>
    <w:rsid w:val="00066B17"/>
    <w:rsid w:val="00067B61"/>
    <w:rsid w:val="00070A2E"/>
    <w:rsid w:val="00070CCA"/>
    <w:rsid w:val="00070F1E"/>
    <w:rsid w:val="00071C7C"/>
    <w:rsid w:val="000729F6"/>
    <w:rsid w:val="00072AD3"/>
    <w:rsid w:val="000746AF"/>
    <w:rsid w:val="000755C5"/>
    <w:rsid w:val="00075BFA"/>
    <w:rsid w:val="00076045"/>
    <w:rsid w:val="000766C8"/>
    <w:rsid w:val="000772CF"/>
    <w:rsid w:val="000800C2"/>
    <w:rsid w:val="00082E7A"/>
    <w:rsid w:val="000837B8"/>
    <w:rsid w:val="0008425E"/>
    <w:rsid w:val="000844CD"/>
    <w:rsid w:val="00084561"/>
    <w:rsid w:val="000848CD"/>
    <w:rsid w:val="00086DBF"/>
    <w:rsid w:val="00086FA9"/>
    <w:rsid w:val="0008789E"/>
    <w:rsid w:val="00090B1F"/>
    <w:rsid w:val="000912DB"/>
    <w:rsid w:val="00091B4D"/>
    <w:rsid w:val="0009202C"/>
    <w:rsid w:val="00092552"/>
    <w:rsid w:val="00093D35"/>
    <w:rsid w:val="00094F63"/>
    <w:rsid w:val="00095A05"/>
    <w:rsid w:val="0009731F"/>
    <w:rsid w:val="000A0177"/>
    <w:rsid w:val="000A0F34"/>
    <w:rsid w:val="000A1D1A"/>
    <w:rsid w:val="000A2E53"/>
    <w:rsid w:val="000A3097"/>
    <w:rsid w:val="000A3D4B"/>
    <w:rsid w:val="000A4071"/>
    <w:rsid w:val="000A4E3C"/>
    <w:rsid w:val="000A59BD"/>
    <w:rsid w:val="000A5AC2"/>
    <w:rsid w:val="000A5F68"/>
    <w:rsid w:val="000A7092"/>
    <w:rsid w:val="000A70AD"/>
    <w:rsid w:val="000A7DE2"/>
    <w:rsid w:val="000B08EE"/>
    <w:rsid w:val="000B1F91"/>
    <w:rsid w:val="000B22C5"/>
    <w:rsid w:val="000B5216"/>
    <w:rsid w:val="000B59CB"/>
    <w:rsid w:val="000B5FE8"/>
    <w:rsid w:val="000B652D"/>
    <w:rsid w:val="000B6595"/>
    <w:rsid w:val="000C1E01"/>
    <w:rsid w:val="000C3BB3"/>
    <w:rsid w:val="000C3BC4"/>
    <w:rsid w:val="000C411F"/>
    <w:rsid w:val="000C56A1"/>
    <w:rsid w:val="000C5C0F"/>
    <w:rsid w:val="000C6FBF"/>
    <w:rsid w:val="000D0D0F"/>
    <w:rsid w:val="000D109A"/>
    <w:rsid w:val="000D2996"/>
    <w:rsid w:val="000D3240"/>
    <w:rsid w:val="000D4C90"/>
    <w:rsid w:val="000D50F9"/>
    <w:rsid w:val="000D52DD"/>
    <w:rsid w:val="000D5329"/>
    <w:rsid w:val="000D6E16"/>
    <w:rsid w:val="000E1309"/>
    <w:rsid w:val="000E20B9"/>
    <w:rsid w:val="000E218D"/>
    <w:rsid w:val="000E2ABE"/>
    <w:rsid w:val="000E2DEC"/>
    <w:rsid w:val="000E2F3D"/>
    <w:rsid w:val="000E3A18"/>
    <w:rsid w:val="000E4F91"/>
    <w:rsid w:val="000F0007"/>
    <w:rsid w:val="000F0F92"/>
    <w:rsid w:val="000F12AE"/>
    <w:rsid w:val="000F14B2"/>
    <w:rsid w:val="000F1D2F"/>
    <w:rsid w:val="000F1E83"/>
    <w:rsid w:val="000F3299"/>
    <w:rsid w:val="000F3A8B"/>
    <w:rsid w:val="000F3DF1"/>
    <w:rsid w:val="000F4111"/>
    <w:rsid w:val="000F41FD"/>
    <w:rsid w:val="000F42B7"/>
    <w:rsid w:val="000F4A9B"/>
    <w:rsid w:val="000F5E3C"/>
    <w:rsid w:val="000F7EFE"/>
    <w:rsid w:val="00100C09"/>
    <w:rsid w:val="00101592"/>
    <w:rsid w:val="00101629"/>
    <w:rsid w:val="00101866"/>
    <w:rsid w:val="00101C67"/>
    <w:rsid w:val="001026AF"/>
    <w:rsid w:val="001029EE"/>
    <w:rsid w:val="0010366E"/>
    <w:rsid w:val="00103F69"/>
    <w:rsid w:val="00104739"/>
    <w:rsid w:val="00104D84"/>
    <w:rsid w:val="00105626"/>
    <w:rsid w:val="001059D8"/>
    <w:rsid w:val="001067CF"/>
    <w:rsid w:val="00107184"/>
    <w:rsid w:val="00107DDE"/>
    <w:rsid w:val="001101DC"/>
    <w:rsid w:val="001110B1"/>
    <w:rsid w:val="00112819"/>
    <w:rsid w:val="00112DAA"/>
    <w:rsid w:val="00113025"/>
    <w:rsid w:val="001140B1"/>
    <w:rsid w:val="00115C17"/>
    <w:rsid w:val="00116502"/>
    <w:rsid w:val="001170EF"/>
    <w:rsid w:val="001173BA"/>
    <w:rsid w:val="001178DC"/>
    <w:rsid w:val="001219C2"/>
    <w:rsid w:val="00121D94"/>
    <w:rsid w:val="00123525"/>
    <w:rsid w:val="00125DFD"/>
    <w:rsid w:val="00126EF9"/>
    <w:rsid w:val="001275B5"/>
    <w:rsid w:val="00130016"/>
    <w:rsid w:val="00130F7A"/>
    <w:rsid w:val="001315EC"/>
    <w:rsid w:val="001316FB"/>
    <w:rsid w:val="00131D81"/>
    <w:rsid w:val="00133D39"/>
    <w:rsid w:val="00135967"/>
    <w:rsid w:val="00135E86"/>
    <w:rsid w:val="00135E94"/>
    <w:rsid w:val="00137E43"/>
    <w:rsid w:val="00137F2A"/>
    <w:rsid w:val="001403FB"/>
    <w:rsid w:val="001405D1"/>
    <w:rsid w:val="00140B8A"/>
    <w:rsid w:val="00140BA5"/>
    <w:rsid w:val="001413A0"/>
    <w:rsid w:val="0014206B"/>
    <w:rsid w:val="00143A63"/>
    <w:rsid w:val="00143CF1"/>
    <w:rsid w:val="00143E4A"/>
    <w:rsid w:val="00144BB8"/>
    <w:rsid w:val="00144D7E"/>
    <w:rsid w:val="001467D1"/>
    <w:rsid w:val="00146CDB"/>
    <w:rsid w:val="00146DA2"/>
    <w:rsid w:val="00147AD1"/>
    <w:rsid w:val="00147E88"/>
    <w:rsid w:val="001504CE"/>
    <w:rsid w:val="0015188A"/>
    <w:rsid w:val="00152BD0"/>
    <w:rsid w:val="00152FA4"/>
    <w:rsid w:val="00153074"/>
    <w:rsid w:val="00154267"/>
    <w:rsid w:val="00154A66"/>
    <w:rsid w:val="001559D2"/>
    <w:rsid w:val="00155B35"/>
    <w:rsid w:val="00156357"/>
    <w:rsid w:val="00160296"/>
    <w:rsid w:val="001605CE"/>
    <w:rsid w:val="00160F03"/>
    <w:rsid w:val="00161C5A"/>
    <w:rsid w:val="00161CD8"/>
    <w:rsid w:val="001625E9"/>
    <w:rsid w:val="00162703"/>
    <w:rsid w:val="00162AF7"/>
    <w:rsid w:val="00162B2E"/>
    <w:rsid w:val="0016377C"/>
    <w:rsid w:val="00164A86"/>
    <w:rsid w:val="00165EF5"/>
    <w:rsid w:val="00166799"/>
    <w:rsid w:val="00166AD5"/>
    <w:rsid w:val="00166C2A"/>
    <w:rsid w:val="00167159"/>
    <w:rsid w:val="00167F93"/>
    <w:rsid w:val="00170471"/>
    <w:rsid w:val="0017062E"/>
    <w:rsid w:val="00170873"/>
    <w:rsid w:val="00170922"/>
    <w:rsid w:val="0017254D"/>
    <w:rsid w:val="0017276A"/>
    <w:rsid w:val="0017339A"/>
    <w:rsid w:val="00174A54"/>
    <w:rsid w:val="001752C8"/>
    <w:rsid w:val="00175BDE"/>
    <w:rsid w:val="00175D56"/>
    <w:rsid w:val="00176A31"/>
    <w:rsid w:val="00176FF1"/>
    <w:rsid w:val="0018070F"/>
    <w:rsid w:val="00180DBD"/>
    <w:rsid w:val="0018127B"/>
    <w:rsid w:val="001813B5"/>
    <w:rsid w:val="00181C1B"/>
    <w:rsid w:val="0018298B"/>
    <w:rsid w:val="00183145"/>
    <w:rsid w:val="00183B71"/>
    <w:rsid w:val="00187362"/>
    <w:rsid w:val="00187833"/>
    <w:rsid w:val="001879C3"/>
    <w:rsid w:val="00187EA8"/>
    <w:rsid w:val="0019130C"/>
    <w:rsid w:val="001919D1"/>
    <w:rsid w:val="00192947"/>
    <w:rsid w:val="00194910"/>
    <w:rsid w:val="00195280"/>
    <w:rsid w:val="00196244"/>
    <w:rsid w:val="00197771"/>
    <w:rsid w:val="00197B67"/>
    <w:rsid w:val="001A0B09"/>
    <w:rsid w:val="001A1931"/>
    <w:rsid w:val="001A1ACB"/>
    <w:rsid w:val="001A2C55"/>
    <w:rsid w:val="001A2D26"/>
    <w:rsid w:val="001A45C5"/>
    <w:rsid w:val="001A6944"/>
    <w:rsid w:val="001A7DA7"/>
    <w:rsid w:val="001B062E"/>
    <w:rsid w:val="001B0E52"/>
    <w:rsid w:val="001B225F"/>
    <w:rsid w:val="001B2B96"/>
    <w:rsid w:val="001B2D7C"/>
    <w:rsid w:val="001B2F96"/>
    <w:rsid w:val="001B395D"/>
    <w:rsid w:val="001B3B42"/>
    <w:rsid w:val="001B4583"/>
    <w:rsid w:val="001B4759"/>
    <w:rsid w:val="001B6002"/>
    <w:rsid w:val="001B73FB"/>
    <w:rsid w:val="001B7DD4"/>
    <w:rsid w:val="001C0355"/>
    <w:rsid w:val="001C0749"/>
    <w:rsid w:val="001C0C96"/>
    <w:rsid w:val="001C2E2E"/>
    <w:rsid w:val="001C398A"/>
    <w:rsid w:val="001C3E4B"/>
    <w:rsid w:val="001C5B1F"/>
    <w:rsid w:val="001C60D1"/>
    <w:rsid w:val="001C722C"/>
    <w:rsid w:val="001C7462"/>
    <w:rsid w:val="001C7B25"/>
    <w:rsid w:val="001D003F"/>
    <w:rsid w:val="001D08D3"/>
    <w:rsid w:val="001D091B"/>
    <w:rsid w:val="001D39FB"/>
    <w:rsid w:val="001D40A2"/>
    <w:rsid w:val="001D63BD"/>
    <w:rsid w:val="001D64C2"/>
    <w:rsid w:val="001D6B29"/>
    <w:rsid w:val="001D7DAA"/>
    <w:rsid w:val="001D7F44"/>
    <w:rsid w:val="001E119B"/>
    <w:rsid w:val="001E1FBC"/>
    <w:rsid w:val="001E22B8"/>
    <w:rsid w:val="001E3312"/>
    <w:rsid w:val="001E3D73"/>
    <w:rsid w:val="001E41B8"/>
    <w:rsid w:val="001E431C"/>
    <w:rsid w:val="001E451F"/>
    <w:rsid w:val="001E4A18"/>
    <w:rsid w:val="001E4C45"/>
    <w:rsid w:val="001E4EC9"/>
    <w:rsid w:val="001E7B1E"/>
    <w:rsid w:val="001E7C13"/>
    <w:rsid w:val="001E7EDC"/>
    <w:rsid w:val="001F02CD"/>
    <w:rsid w:val="001F330D"/>
    <w:rsid w:val="001F3B69"/>
    <w:rsid w:val="001F4B86"/>
    <w:rsid w:val="001F4BDB"/>
    <w:rsid w:val="001F5809"/>
    <w:rsid w:val="001F6AE8"/>
    <w:rsid w:val="001F76C8"/>
    <w:rsid w:val="001F7BC8"/>
    <w:rsid w:val="002004F3"/>
    <w:rsid w:val="00200839"/>
    <w:rsid w:val="0020220C"/>
    <w:rsid w:val="00204923"/>
    <w:rsid w:val="002056F2"/>
    <w:rsid w:val="002059EA"/>
    <w:rsid w:val="00210702"/>
    <w:rsid w:val="002114D2"/>
    <w:rsid w:val="00213EC4"/>
    <w:rsid w:val="00215829"/>
    <w:rsid w:val="002165FB"/>
    <w:rsid w:val="0022026C"/>
    <w:rsid w:val="00221461"/>
    <w:rsid w:val="00221CA9"/>
    <w:rsid w:val="00224240"/>
    <w:rsid w:val="00224259"/>
    <w:rsid w:val="00225146"/>
    <w:rsid w:val="0022545D"/>
    <w:rsid w:val="00227414"/>
    <w:rsid w:val="002275E3"/>
    <w:rsid w:val="00227A41"/>
    <w:rsid w:val="00227D39"/>
    <w:rsid w:val="002302B8"/>
    <w:rsid w:val="00230C46"/>
    <w:rsid w:val="00231301"/>
    <w:rsid w:val="002318F2"/>
    <w:rsid w:val="00231B8C"/>
    <w:rsid w:val="00231CE9"/>
    <w:rsid w:val="00232324"/>
    <w:rsid w:val="002324D5"/>
    <w:rsid w:val="002341CC"/>
    <w:rsid w:val="0023423B"/>
    <w:rsid w:val="00235321"/>
    <w:rsid w:val="00240275"/>
    <w:rsid w:val="00240CDA"/>
    <w:rsid w:val="002416F6"/>
    <w:rsid w:val="00241CCF"/>
    <w:rsid w:val="00242988"/>
    <w:rsid w:val="00243AC4"/>
    <w:rsid w:val="00243BE7"/>
    <w:rsid w:val="0024465E"/>
    <w:rsid w:val="002446B9"/>
    <w:rsid w:val="00244C32"/>
    <w:rsid w:val="0024507C"/>
    <w:rsid w:val="002451E6"/>
    <w:rsid w:val="0024660D"/>
    <w:rsid w:val="002471D9"/>
    <w:rsid w:val="0024736E"/>
    <w:rsid w:val="00250374"/>
    <w:rsid w:val="0025131F"/>
    <w:rsid w:val="00252D47"/>
    <w:rsid w:val="00252E1A"/>
    <w:rsid w:val="00253AB8"/>
    <w:rsid w:val="00254038"/>
    <w:rsid w:val="00254098"/>
    <w:rsid w:val="0025488D"/>
    <w:rsid w:val="00255560"/>
    <w:rsid w:val="002559DE"/>
    <w:rsid w:val="002569D1"/>
    <w:rsid w:val="00256D62"/>
    <w:rsid w:val="00260F2C"/>
    <w:rsid w:val="00262D16"/>
    <w:rsid w:val="00263CA9"/>
    <w:rsid w:val="00263CE3"/>
    <w:rsid w:val="002649E0"/>
    <w:rsid w:val="00265674"/>
    <w:rsid w:val="00266C30"/>
    <w:rsid w:val="00267BDE"/>
    <w:rsid w:val="00267F1B"/>
    <w:rsid w:val="00272CE7"/>
    <w:rsid w:val="00273162"/>
    <w:rsid w:val="0027469F"/>
    <w:rsid w:val="0027478A"/>
    <w:rsid w:val="00275296"/>
    <w:rsid w:val="00275EBE"/>
    <w:rsid w:val="00277DEE"/>
    <w:rsid w:val="002801C9"/>
    <w:rsid w:val="002830BB"/>
    <w:rsid w:val="00283E53"/>
    <w:rsid w:val="00284AD2"/>
    <w:rsid w:val="002866BE"/>
    <w:rsid w:val="00286B09"/>
    <w:rsid w:val="00287ACD"/>
    <w:rsid w:val="00290BA2"/>
    <w:rsid w:val="00292502"/>
    <w:rsid w:val="002930D8"/>
    <w:rsid w:val="002937D5"/>
    <w:rsid w:val="00294255"/>
    <w:rsid w:val="0029426C"/>
    <w:rsid w:val="00294607"/>
    <w:rsid w:val="002953B5"/>
    <w:rsid w:val="00296111"/>
    <w:rsid w:val="00297B46"/>
    <w:rsid w:val="002A0F20"/>
    <w:rsid w:val="002A0FFE"/>
    <w:rsid w:val="002A19B8"/>
    <w:rsid w:val="002A2523"/>
    <w:rsid w:val="002A2C4D"/>
    <w:rsid w:val="002A2CB9"/>
    <w:rsid w:val="002A3C21"/>
    <w:rsid w:val="002A3F62"/>
    <w:rsid w:val="002A546A"/>
    <w:rsid w:val="002A7006"/>
    <w:rsid w:val="002A73AF"/>
    <w:rsid w:val="002A7485"/>
    <w:rsid w:val="002A74E6"/>
    <w:rsid w:val="002B0630"/>
    <w:rsid w:val="002B0C34"/>
    <w:rsid w:val="002B2577"/>
    <w:rsid w:val="002B36E6"/>
    <w:rsid w:val="002B3AD7"/>
    <w:rsid w:val="002B42B3"/>
    <w:rsid w:val="002C09A0"/>
    <w:rsid w:val="002C0D6C"/>
    <w:rsid w:val="002C1A39"/>
    <w:rsid w:val="002C326F"/>
    <w:rsid w:val="002C571E"/>
    <w:rsid w:val="002C6BE7"/>
    <w:rsid w:val="002C7391"/>
    <w:rsid w:val="002C7868"/>
    <w:rsid w:val="002D0D1E"/>
    <w:rsid w:val="002D13AB"/>
    <w:rsid w:val="002D1522"/>
    <w:rsid w:val="002D1CE6"/>
    <w:rsid w:val="002D291A"/>
    <w:rsid w:val="002D5579"/>
    <w:rsid w:val="002D6843"/>
    <w:rsid w:val="002D71C7"/>
    <w:rsid w:val="002D752D"/>
    <w:rsid w:val="002D7727"/>
    <w:rsid w:val="002D7CBD"/>
    <w:rsid w:val="002E157A"/>
    <w:rsid w:val="002E17E7"/>
    <w:rsid w:val="002E1E9B"/>
    <w:rsid w:val="002E231F"/>
    <w:rsid w:val="002E2D85"/>
    <w:rsid w:val="002E3200"/>
    <w:rsid w:val="002E5E53"/>
    <w:rsid w:val="002E669A"/>
    <w:rsid w:val="002E6824"/>
    <w:rsid w:val="002E71DB"/>
    <w:rsid w:val="002E7401"/>
    <w:rsid w:val="002F02EF"/>
    <w:rsid w:val="002F10C8"/>
    <w:rsid w:val="002F22C2"/>
    <w:rsid w:val="002F2C00"/>
    <w:rsid w:val="002F2ED8"/>
    <w:rsid w:val="002F58F4"/>
    <w:rsid w:val="002F6469"/>
    <w:rsid w:val="002F6E1B"/>
    <w:rsid w:val="002F7635"/>
    <w:rsid w:val="002F7725"/>
    <w:rsid w:val="002F7EFD"/>
    <w:rsid w:val="003000CB"/>
    <w:rsid w:val="003020FD"/>
    <w:rsid w:val="00303B87"/>
    <w:rsid w:val="00304753"/>
    <w:rsid w:val="00305C7E"/>
    <w:rsid w:val="0031022F"/>
    <w:rsid w:val="00310C2F"/>
    <w:rsid w:val="00311B43"/>
    <w:rsid w:val="00312FFA"/>
    <w:rsid w:val="00313114"/>
    <w:rsid w:val="00314644"/>
    <w:rsid w:val="00314CF9"/>
    <w:rsid w:val="00314DE2"/>
    <w:rsid w:val="00316387"/>
    <w:rsid w:val="00316ACB"/>
    <w:rsid w:val="00317422"/>
    <w:rsid w:val="0032003F"/>
    <w:rsid w:val="00320AAB"/>
    <w:rsid w:val="00322489"/>
    <w:rsid w:val="00322FB8"/>
    <w:rsid w:val="00323141"/>
    <w:rsid w:val="00323FA2"/>
    <w:rsid w:val="003241A2"/>
    <w:rsid w:val="00330129"/>
    <w:rsid w:val="00331B1C"/>
    <w:rsid w:val="0033284C"/>
    <w:rsid w:val="00332CCC"/>
    <w:rsid w:val="00332FC6"/>
    <w:rsid w:val="00333434"/>
    <w:rsid w:val="00334F05"/>
    <w:rsid w:val="0033534F"/>
    <w:rsid w:val="00336EE2"/>
    <w:rsid w:val="003402EE"/>
    <w:rsid w:val="003409B2"/>
    <w:rsid w:val="00340BF6"/>
    <w:rsid w:val="00341AD7"/>
    <w:rsid w:val="0034210B"/>
    <w:rsid w:val="00342277"/>
    <w:rsid w:val="00342311"/>
    <w:rsid w:val="00343786"/>
    <w:rsid w:val="003437B0"/>
    <w:rsid w:val="0034464D"/>
    <w:rsid w:val="0034560F"/>
    <w:rsid w:val="00346574"/>
    <w:rsid w:val="003469F0"/>
    <w:rsid w:val="003478F8"/>
    <w:rsid w:val="00350A29"/>
    <w:rsid w:val="00350D88"/>
    <w:rsid w:val="0035152A"/>
    <w:rsid w:val="0035244A"/>
    <w:rsid w:val="0035478F"/>
    <w:rsid w:val="00356242"/>
    <w:rsid w:val="0035645D"/>
    <w:rsid w:val="00356B21"/>
    <w:rsid w:val="0035731A"/>
    <w:rsid w:val="003576C0"/>
    <w:rsid w:val="00357B59"/>
    <w:rsid w:val="00357C60"/>
    <w:rsid w:val="00357E83"/>
    <w:rsid w:val="00360AA3"/>
    <w:rsid w:val="00361DE1"/>
    <w:rsid w:val="00363954"/>
    <w:rsid w:val="0036458D"/>
    <w:rsid w:val="00364C5C"/>
    <w:rsid w:val="00364F65"/>
    <w:rsid w:val="00367287"/>
    <w:rsid w:val="0036758F"/>
    <w:rsid w:val="00370B25"/>
    <w:rsid w:val="00372D5B"/>
    <w:rsid w:val="0037329E"/>
    <w:rsid w:val="00375995"/>
    <w:rsid w:val="00375D50"/>
    <w:rsid w:val="0037602F"/>
    <w:rsid w:val="003801F0"/>
    <w:rsid w:val="00383234"/>
    <w:rsid w:val="003834F5"/>
    <w:rsid w:val="00383570"/>
    <w:rsid w:val="00384E33"/>
    <w:rsid w:val="00385C8E"/>
    <w:rsid w:val="00385D83"/>
    <w:rsid w:val="00387447"/>
    <w:rsid w:val="003877F0"/>
    <w:rsid w:val="00387A5D"/>
    <w:rsid w:val="00387E7B"/>
    <w:rsid w:val="0039009F"/>
    <w:rsid w:val="00390E73"/>
    <w:rsid w:val="0039164D"/>
    <w:rsid w:val="0039179F"/>
    <w:rsid w:val="00392396"/>
    <w:rsid w:val="0039259E"/>
    <w:rsid w:val="00392DCF"/>
    <w:rsid w:val="003933CD"/>
    <w:rsid w:val="00394363"/>
    <w:rsid w:val="003949F2"/>
    <w:rsid w:val="0039627E"/>
    <w:rsid w:val="003967A8"/>
    <w:rsid w:val="00397A99"/>
    <w:rsid w:val="003A02E2"/>
    <w:rsid w:val="003A1BC2"/>
    <w:rsid w:val="003A1D89"/>
    <w:rsid w:val="003A2004"/>
    <w:rsid w:val="003A29EE"/>
    <w:rsid w:val="003A375B"/>
    <w:rsid w:val="003A382A"/>
    <w:rsid w:val="003A38EF"/>
    <w:rsid w:val="003A5500"/>
    <w:rsid w:val="003A5C05"/>
    <w:rsid w:val="003A5EF1"/>
    <w:rsid w:val="003A605C"/>
    <w:rsid w:val="003B16BC"/>
    <w:rsid w:val="003B1971"/>
    <w:rsid w:val="003B1C07"/>
    <w:rsid w:val="003B2B86"/>
    <w:rsid w:val="003B35AC"/>
    <w:rsid w:val="003B3DB2"/>
    <w:rsid w:val="003B45E3"/>
    <w:rsid w:val="003B4BE8"/>
    <w:rsid w:val="003B540F"/>
    <w:rsid w:val="003B61D2"/>
    <w:rsid w:val="003B6746"/>
    <w:rsid w:val="003C07E9"/>
    <w:rsid w:val="003C10A6"/>
    <w:rsid w:val="003C13E7"/>
    <w:rsid w:val="003C1CDC"/>
    <w:rsid w:val="003C1D5A"/>
    <w:rsid w:val="003C2A69"/>
    <w:rsid w:val="003D024B"/>
    <w:rsid w:val="003D1327"/>
    <w:rsid w:val="003D1AF4"/>
    <w:rsid w:val="003D53D4"/>
    <w:rsid w:val="003D55E2"/>
    <w:rsid w:val="003D70D6"/>
    <w:rsid w:val="003E0658"/>
    <w:rsid w:val="003E152A"/>
    <w:rsid w:val="003E190E"/>
    <w:rsid w:val="003E302C"/>
    <w:rsid w:val="003E38D6"/>
    <w:rsid w:val="003E3E89"/>
    <w:rsid w:val="003E463D"/>
    <w:rsid w:val="003E49FE"/>
    <w:rsid w:val="003E5D00"/>
    <w:rsid w:val="003E6AD7"/>
    <w:rsid w:val="003E6E79"/>
    <w:rsid w:val="003F0940"/>
    <w:rsid w:val="003F1737"/>
    <w:rsid w:val="003F2971"/>
    <w:rsid w:val="003F2C7D"/>
    <w:rsid w:val="003F2F43"/>
    <w:rsid w:val="003F3968"/>
    <w:rsid w:val="003F4B3E"/>
    <w:rsid w:val="003F6455"/>
    <w:rsid w:val="003F7846"/>
    <w:rsid w:val="00401EA4"/>
    <w:rsid w:val="00401F2E"/>
    <w:rsid w:val="0040276A"/>
    <w:rsid w:val="00402CFD"/>
    <w:rsid w:val="00404363"/>
    <w:rsid w:val="00404948"/>
    <w:rsid w:val="004065F9"/>
    <w:rsid w:val="00406D57"/>
    <w:rsid w:val="00407367"/>
    <w:rsid w:val="00407A1D"/>
    <w:rsid w:val="00410720"/>
    <w:rsid w:val="00411497"/>
    <w:rsid w:val="0041172B"/>
    <w:rsid w:val="00411FD3"/>
    <w:rsid w:val="004129EF"/>
    <w:rsid w:val="00413AAD"/>
    <w:rsid w:val="00414330"/>
    <w:rsid w:val="00415553"/>
    <w:rsid w:val="00416C8C"/>
    <w:rsid w:val="00416DF3"/>
    <w:rsid w:val="0042045A"/>
    <w:rsid w:val="00421298"/>
    <w:rsid w:val="00421551"/>
    <w:rsid w:val="00421BD7"/>
    <w:rsid w:val="00423537"/>
    <w:rsid w:val="00423CE3"/>
    <w:rsid w:val="00424226"/>
    <w:rsid w:val="004257B0"/>
    <w:rsid w:val="00426A7A"/>
    <w:rsid w:val="00426BA3"/>
    <w:rsid w:val="00426EB8"/>
    <w:rsid w:val="00427730"/>
    <w:rsid w:val="00427EE8"/>
    <w:rsid w:val="0043277D"/>
    <w:rsid w:val="00432B46"/>
    <w:rsid w:val="00436AF2"/>
    <w:rsid w:val="004417D4"/>
    <w:rsid w:val="004432ED"/>
    <w:rsid w:val="0044357F"/>
    <w:rsid w:val="00443C27"/>
    <w:rsid w:val="00444DE7"/>
    <w:rsid w:val="00447D65"/>
    <w:rsid w:val="0045058B"/>
    <w:rsid w:val="00451326"/>
    <w:rsid w:val="00451EB3"/>
    <w:rsid w:val="00452671"/>
    <w:rsid w:val="004543A7"/>
    <w:rsid w:val="00455541"/>
    <w:rsid w:val="0045563E"/>
    <w:rsid w:val="00455969"/>
    <w:rsid w:val="00456216"/>
    <w:rsid w:val="00456903"/>
    <w:rsid w:val="0045766B"/>
    <w:rsid w:val="004613F8"/>
    <w:rsid w:val="004634A4"/>
    <w:rsid w:val="00463B3B"/>
    <w:rsid w:val="00465782"/>
    <w:rsid w:val="00466875"/>
    <w:rsid w:val="00466BB8"/>
    <w:rsid w:val="00466EE1"/>
    <w:rsid w:val="00471FE9"/>
    <w:rsid w:val="004727B8"/>
    <w:rsid w:val="00474A4D"/>
    <w:rsid w:val="00475B00"/>
    <w:rsid w:val="00477A21"/>
    <w:rsid w:val="0048009A"/>
    <w:rsid w:val="0048116A"/>
    <w:rsid w:val="00481236"/>
    <w:rsid w:val="00481E75"/>
    <w:rsid w:val="00481FAD"/>
    <w:rsid w:val="00483360"/>
    <w:rsid w:val="00483F3B"/>
    <w:rsid w:val="00484527"/>
    <w:rsid w:val="00484F51"/>
    <w:rsid w:val="00486CF7"/>
    <w:rsid w:val="004879F4"/>
    <w:rsid w:val="00490EFE"/>
    <w:rsid w:val="0049118B"/>
    <w:rsid w:val="004918AC"/>
    <w:rsid w:val="00492135"/>
    <w:rsid w:val="00492FAB"/>
    <w:rsid w:val="00494191"/>
    <w:rsid w:val="004946D6"/>
    <w:rsid w:val="00494A7D"/>
    <w:rsid w:val="00495D24"/>
    <w:rsid w:val="004A0192"/>
    <w:rsid w:val="004A1010"/>
    <w:rsid w:val="004A25ED"/>
    <w:rsid w:val="004A2931"/>
    <w:rsid w:val="004A370A"/>
    <w:rsid w:val="004A3CDC"/>
    <w:rsid w:val="004A3E13"/>
    <w:rsid w:val="004A42FC"/>
    <w:rsid w:val="004A588D"/>
    <w:rsid w:val="004A5AE6"/>
    <w:rsid w:val="004A65DC"/>
    <w:rsid w:val="004A76C2"/>
    <w:rsid w:val="004A7E0E"/>
    <w:rsid w:val="004B0D40"/>
    <w:rsid w:val="004B0D70"/>
    <w:rsid w:val="004B0DCC"/>
    <w:rsid w:val="004B1668"/>
    <w:rsid w:val="004B184A"/>
    <w:rsid w:val="004B20D8"/>
    <w:rsid w:val="004B3A29"/>
    <w:rsid w:val="004B50D9"/>
    <w:rsid w:val="004B57F5"/>
    <w:rsid w:val="004B7729"/>
    <w:rsid w:val="004C1042"/>
    <w:rsid w:val="004C1402"/>
    <w:rsid w:val="004C1859"/>
    <w:rsid w:val="004C2693"/>
    <w:rsid w:val="004C2A92"/>
    <w:rsid w:val="004C2BAB"/>
    <w:rsid w:val="004C32D7"/>
    <w:rsid w:val="004C363D"/>
    <w:rsid w:val="004C5688"/>
    <w:rsid w:val="004C6577"/>
    <w:rsid w:val="004C6A15"/>
    <w:rsid w:val="004C6C4D"/>
    <w:rsid w:val="004C6E68"/>
    <w:rsid w:val="004C705D"/>
    <w:rsid w:val="004C7383"/>
    <w:rsid w:val="004D1433"/>
    <w:rsid w:val="004D455D"/>
    <w:rsid w:val="004D5178"/>
    <w:rsid w:val="004D5EF8"/>
    <w:rsid w:val="004D63BE"/>
    <w:rsid w:val="004D6742"/>
    <w:rsid w:val="004D6954"/>
    <w:rsid w:val="004E0925"/>
    <w:rsid w:val="004E0B47"/>
    <w:rsid w:val="004E0CF0"/>
    <w:rsid w:val="004E359A"/>
    <w:rsid w:val="004E46C3"/>
    <w:rsid w:val="004E4D8D"/>
    <w:rsid w:val="004E5D4A"/>
    <w:rsid w:val="004E7221"/>
    <w:rsid w:val="004E74DC"/>
    <w:rsid w:val="004F1215"/>
    <w:rsid w:val="004F28B7"/>
    <w:rsid w:val="004F2B7D"/>
    <w:rsid w:val="004F35C9"/>
    <w:rsid w:val="004F4224"/>
    <w:rsid w:val="004F4F5A"/>
    <w:rsid w:val="004F5228"/>
    <w:rsid w:val="004F5538"/>
    <w:rsid w:val="004F5CC9"/>
    <w:rsid w:val="004F5E81"/>
    <w:rsid w:val="004F653F"/>
    <w:rsid w:val="00500653"/>
    <w:rsid w:val="00501CF7"/>
    <w:rsid w:val="00502DF8"/>
    <w:rsid w:val="005036B9"/>
    <w:rsid w:val="005037B6"/>
    <w:rsid w:val="00503E95"/>
    <w:rsid w:val="00506979"/>
    <w:rsid w:val="00507001"/>
    <w:rsid w:val="0050719E"/>
    <w:rsid w:val="00511F45"/>
    <w:rsid w:val="00514B4A"/>
    <w:rsid w:val="005152B9"/>
    <w:rsid w:val="005158AF"/>
    <w:rsid w:val="00515BC4"/>
    <w:rsid w:val="00517BE0"/>
    <w:rsid w:val="00520571"/>
    <w:rsid w:val="005215F7"/>
    <w:rsid w:val="005220FC"/>
    <w:rsid w:val="005231C7"/>
    <w:rsid w:val="00523939"/>
    <w:rsid w:val="005239A7"/>
    <w:rsid w:val="00523A6A"/>
    <w:rsid w:val="00524503"/>
    <w:rsid w:val="00524A5F"/>
    <w:rsid w:val="00525D29"/>
    <w:rsid w:val="00525F4A"/>
    <w:rsid w:val="0052653B"/>
    <w:rsid w:val="005279F5"/>
    <w:rsid w:val="00531858"/>
    <w:rsid w:val="00532247"/>
    <w:rsid w:val="0053252F"/>
    <w:rsid w:val="00532CF0"/>
    <w:rsid w:val="00532F43"/>
    <w:rsid w:val="00533402"/>
    <w:rsid w:val="00534144"/>
    <w:rsid w:val="005348B2"/>
    <w:rsid w:val="00535C9D"/>
    <w:rsid w:val="00536662"/>
    <w:rsid w:val="005368A7"/>
    <w:rsid w:val="00537C99"/>
    <w:rsid w:val="0054038E"/>
    <w:rsid w:val="00542005"/>
    <w:rsid w:val="005420FC"/>
    <w:rsid w:val="00543F36"/>
    <w:rsid w:val="0054559D"/>
    <w:rsid w:val="00545627"/>
    <w:rsid w:val="00545BBB"/>
    <w:rsid w:val="00545EDF"/>
    <w:rsid w:val="00547111"/>
    <w:rsid w:val="0054766D"/>
    <w:rsid w:val="005479AB"/>
    <w:rsid w:val="00550A6A"/>
    <w:rsid w:val="00550A75"/>
    <w:rsid w:val="005522EB"/>
    <w:rsid w:val="00553E4B"/>
    <w:rsid w:val="00553E68"/>
    <w:rsid w:val="005569CA"/>
    <w:rsid w:val="00557067"/>
    <w:rsid w:val="005572D9"/>
    <w:rsid w:val="00560A8D"/>
    <w:rsid w:val="005613F3"/>
    <w:rsid w:val="00563B01"/>
    <w:rsid w:val="00565BC3"/>
    <w:rsid w:val="00565D53"/>
    <w:rsid w:val="00566C99"/>
    <w:rsid w:val="005678D7"/>
    <w:rsid w:val="00567FFA"/>
    <w:rsid w:val="0057005A"/>
    <w:rsid w:val="00570397"/>
    <w:rsid w:val="00570A8B"/>
    <w:rsid w:val="00570B5D"/>
    <w:rsid w:val="005736E7"/>
    <w:rsid w:val="00573DA2"/>
    <w:rsid w:val="0057407C"/>
    <w:rsid w:val="00580252"/>
    <w:rsid w:val="00580BDE"/>
    <w:rsid w:val="00581AFD"/>
    <w:rsid w:val="00582853"/>
    <w:rsid w:val="005833F9"/>
    <w:rsid w:val="00585105"/>
    <w:rsid w:val="0058532B"/>
    <w:rsid w:val="00586A60"/>
    <w:rsid w:val="00587633"/>
    <w:rsid w:val="005900B5"/>
    <w:rsid w:val="005913D3"/>
    <w:rsid w:val="00592024"/>
    <w:rsid w:val="00592AC0"/>
    <w:rsid w:val="00592E30"/>
    <w:rsid w:val="0059355B"/>
    <w:rsid w:val="00593615"/>
    <w:rsid w:val="00593CA5"/>
    <w:rsid w:val="0059429C"/>
    <w:rsid w:val="00595010"/>
    <w:rsid w:val="0059590F"/>
    <w:rsid w:val="005962B4"/>
    <w:rsid w:val="0059693F"/>
    <w:rsid w:val="00596D60"/>
    <w:rsid w:val="00597050"/>
    <w:rsid w:val="0059734C"/>
    <w:rsid w:val="005A02AB"/>
    <w:rsid w:val="005A0746"/>
    <w:rsid w:val="005A138B"/>
    <w:rsid w:val="005A4BC4"/>
    <w:rsid w:val="005A5B7C"/>
    <w:rsid w:val="005A6718"/>
    <w:rsid w:val="005B1091"/>
    <w:rsid w:val="005B2C63"/>
    <w:rsid w:val="005B3C49"/>
    <w:rsid w:val="005B477C"/>
    <w:rsid w:val="005B5B0A"/>
    <w:rsid w:val="005B5DEE"/>
    <w:rsid w:val="005B7926"/>
    <w:rsid w:val="005C1E34"/>
    <w:rsid w:val="005C23C4"/>
    <w:rsid w:val="005C2A7F"/>
    <w:rsid w:val="005C36A1"/>
    <w:rsid w:val="005C393C"/>
    <w:rsid w:val="005C3DE7"/>
    <w:rsid w:val="005C3EA8"/>
    <w:rsid w:val="005C4638"/>
    <w:rsid w:val="005C7637"/>
    <w:rsid w:val="005C77EA"/>
    <w:rsid w:val="005D02C7"/>
    <w:rsid w:val="005D0436"/>
    <w:rsid w:val="005D087F"/>
    <w:rsid w:val="005D25CF"/>
    <w:rsid w:val="005D2BE4"/>
    <w:rsid w:val="005D423B"/>
    <w:rsid w:val="005D598B"/>
    <w:rsid w:val="005D69CF"/>
    <w:rsid w:val="005D7956"/>
    <w:rsid w:val="005D7F48"/>
    <w:rsid w:val="005E00CF"/>
    <w:rsid w:val="005E15AB"/>
    <w:rsid w:val="005E19BB"/>
    <w:rsid w:val="005E1F7A"/>
    <w:rsid w:val="005E2B68"/>
    <w:rsid w:val="005E336F"/>
    <w:rsid w:val="005E34CA"/>
    <w:rsid w:val="005E4DDC"/>
    <w:rsid w:val="005E6608"/>
    <w:rsid w:val="005E7D0D"/>
    <w:rsid w:val="005F0EC2"/>
    <w:rsid w:val="005F1AC9"/>
    <w:rsid w:val="005F1D97"/>
    <w:rsid w:val="005F29A7"/>
    <w:rsid w:val="005F388B"/>
    <w:rsid w:val="005F5B6B"/>
    <w:rsid w:val="005F6212"/>
    <w:rsid w:val="005F6302"/>
    <w:rsid w:val="0060171F"/>
    <w:rsid w:val="006024E4"/>
    <w:rsid w:val="00602FD4"/>
    <w:rsid w:val="006034FA"/>
    <w:rsid w:val="00605690"/>
    <w:rsid w:val="0060662C"/>
    <w:rsid w:val="0060782C"/>
    <w:rsid w:val="00607867"/>
    <w:rsid w:val="006103CE"/>
    <w:rsid w:val="0061170E"/>
    <w:rsid w:val="0061179E"/>
    <w:rsid w:val="00611B8D"/>
    <w:rsid w:val="00611DA4"/>
    <w:rsid w:val="00612629"/>
    <w:rsid w:val="00613E3F"/>
    <w:rsid w:val="00614E9C"/>
    <w:rsid w:val="00615F02"/>
    <w:rsid w:val="00615F20"/>
    <w:rsid w:val="00616C8D"/>
    <w:rsid w:val="0061717E"/>
    <w:rsid w:val="00620EC4"/>
    <w:rsid w:val="00621EEA"/>
    <w:rsid w:val="00622B79"/>
    <w:rsid w:val="00622FD6"/>
    <w:rsid w:val="0062307C"/>
    <w:rsid w:val="00624241"/>
    <w:rsid w:val="006244F6"/>
    <w:rsid w:val="0062454E"/>
    <w:rsid w:val="00625341"/>
    <w:rsid w:val="006257AC"/>
    <w:rsid w:val="006279BE"/>
    <w:rsid w:val="00627A2D"/>
    <w:rsid w:val="006300B8"/>
    <w:rsid w:val="00631E79"/>
    <w:rsid w:val="00632EBD"/>
    <w:rsid w:val="00633475"/>
    <w:rsid w:val="00633675"/>
    <w:rsid w:val="006347B7"/>
    <w:rsid w:val="00634B57"/>
    <w:rsid w:val="00635128"/>
    <w:rsid w:val="006352E3"/>
    <w:rsid w:val="00636CE0"/>
    <w:rsid w:val="006373BE"/>
    <w:rsid w:val="00637CCF"/>
    <w:rsid w:val="0064077E"/>
    <w:rsid w:val="006407AE"/>
    <w:rsid w:val="0064098F"/>
    <w:rsid w:val="00640BD4"/>
    <w:rsid w:val="0064152A"/>
    <w:rsid w:val="00641C11"/>
    <w:rsid w:val="0064212E"/>
    <w:rsid w:val="006427E4"/>
    <w:rsid w:val="00643102"/>
    <w:rsid w:val="00643186"/>
    <w:rsid w:val="006431EE"/>
    <w:rsid w:val="006442B2"/>
    <w:rsid w:val="00644345"/>
    <w:rsid w:val="006443D5"/>
    <w:rsid w:val="00645737"/>
    <w:rsid w:val="006468C9"/>
    <w:rsid w:val="00647569"/>
    <w:rsid w:val="006508B8"/>
    <w:rsid w:val="00650AFA"/>
    <w:rsid w:val="00655C37"/>
    <w:rsid w:val="00656306"/>
    <w:rsid w:val="0065650E"/>
    <w:rsid w:val="00656737"/>
    <w:rsid w:val="00656AC8"/>
    <w:rsid w:val="00660BED"/>
    <w:rsid w:val="006618AF"/>
    <w:rsid w:val="00662649"/>
    <w:rsid w:val="006635F4"/>
    <w:rsid w:val="00664C21"/>
    <w:rsid w:val="00665691"/>
    <w:rsid w:val="0066575E"/>
    <w:rsid w:val="0066587B"/>
    <w:rsid w:val="00666084"/>
    <w:rsid w:val="00666343"/>
    <w:rsid w:val="00666511"/>
    <w:rsid w:val="0066740F"/>
    <w:rsid w:val="00667D10"/>
    <w:rsid w:val="0067005A"/>
    <w:rsid w:val="00670487"/>
    <w:rsid w:val="0067090E"/>
    <w:rsid w:val="00670F24"/>
    <w:rsid w:val="00671880"/>
    <w:rsid w:val="00671A29"/>
    <w:rsid w:val="00674D3E"/>
    <w:rsid w:val="00677593"/>
    <w:rsid w:val="006800D5"/>
    <w:rsid w:val="00680835"/>
    <w:rsid w:val="00680961"/>
    <w:rsid w:val="00681BE5"/>
    <w:rsid w:val="00683381"/>
    <w:rsid w:val="00683722"/>
    <w:rsid w:val="00684E67"/>
    <w:rsid w:val="006856E2"/>
    <w:rsid w:val="00685C3C"/>
    <w:rsid w:val="00687609"/>
    <w:rsid w:val="006879A2"/>
    <w:rsid w:val="00687AEB"/>
    <w:rsid w:val="00687F12"/>
    <w:rsid w:val="00690B19"/>
    <w:rsid w:val="006965AD"/>
    <w:rsid w:val="006A076B"/>
    <w:rsid w:val="006A18F6"/>
    <w:rsid w:val="006A3387"/>
    <w:rsid w:val="006A35A4"/>
    <w:rsid w:val="006A63B6"/>
    <w:rsid w:val="006A71CF"/>
    <w:rsid w:val="006A7592"/>
    <w:rsid w:val="006B16B1"/>
    <w:rsid w:val="006B1A5D"/>
    <w:rsid w:val="006B1BFD"/>
    <w:rsid w:val="006B4562"/>
    <w:rsid w:val="006B5480"/>
    <w:rsid w:val="006B740B"/>
    <w:rsid w:val="006C0F45"/>
    <w:rsid w:val="006C1298"/>
    <w:rsid w:val="006C1532"/>
    <w:rsid w:val="006C3368"/>
    <w:rsid w:val="006C3B7A"/>
    <w:rsid w:val="006C49D5"/>
    <w:rsid w:val="006C5343"/>
    <w:rsid w:val="006C59E8"/>
    <w:rsid w:val="006C6ECD"/>
    <w:rsid w:val="006C76B7"/>
    <w:rsid w:val="006C78B5"/>
    <w:rsid w:val="006D0087"/>
    <w:rsid w:val="006D0A69"/>
    <w:rsid w:val="006D0AAF"/>
    <w:rsid w:val="006D1D92"/>
    <w:rsid w:val="006D228B"/>
    <w:rsid w:val="006D286C"/>
    <w:rsid w:val="006D37DF"/>
    <w:rsid w:val="006D5083"/>
    <w:rsid w:val="006D51DE"/>
    <w:rsid w:val="006D67A2"/>
    <w:rsid w:val="006D6ECF"/>
    <w:rsid w:val="006E0014"/>
    <w:rsid w:val="006E0171"/>
    <w:rsid w:val="006E16B5"/>
    <w:rsid w:val="006E1D48"/>
    <w:rsid w:val="006E2521"/>
    <w:rsid w:val="006E2FDA"/>
    <w:rsid w:val="006E38EC"/>
    <w:rsid w:val="006E5113"/>
    <w:rsid w:val="006E588C"/>
    <w:rsid w:val="006E705A"/>
    <w:rsid w:val="006F078E"/>
    <w:rsid w:val="006F1856"/>
    <w:rsid w:val="006F295C"/>
    <w:rsid w:val="006F30E8"/>
    <w:rsid w:val="006F422C"/>
    <w:rsid w:val="006F4993"/>
    <w:rsid w:val="006F757E"/>
    <w:rsid w:val="006F7BA2"/>
    <w:rsid w:val="007005B1"/>
    <w:rsid w:val="00701BDD"/>
    <w:rsid w:val="00703EB8"/>
    <w:rsid w:val="00704046"/>
    <w:rsid w:val="00704168"/>
    <w:rsid w:val="00704AE9"/>
    <w:rsid w:val="00705025"/>
    <w:rsid w:val="0070562A"/>
    <w:rsid w:val="00707FF0"/>
    <w:rsid w:val="007101AE"/>
    <w:rsid w:val="00711812"/>
    <w:rsid w:val="007122F2"/>
    <w:rsid w:val="00715626"/>
    <w:rsid w:val="00715F5D"/>
    <w:rsid w:val="0071652E"/>
    <w:rsid w:val="0071697C"/>
    <w:rsid w:val="00717EFC"/>
    <w:rsid w:val="007203AB"/>
    <w:rsid w:val="00720574"/>
    <w:rsid w:val="00720E81"/>
    <w:rsid w:val="00722C37"/>
    <w:rsid w:val="00723D38"/>
    <w:rsid w:val="00724D4A"/>
    <w:rsid w:val="00725889"/>
    <w:rsid w:val="00725A6D"/>
    <w:rsid w:val="0072704F"/>
    <w:rsid w:val="00727F7F"/>
    <w:rsid w:val="0073038D"/>
    <w:rsid w:val="0073077A"/>
    <w:rsid w:val="00730B9B"/>
    <w:rsid w:val="00731185"/>
    <w:rsid w:val="007313F1"/>
    <w:rsid w:val="00731919"/>
    <w:rsid w:val="00732748"/>
    <w:rsid w:val="007332A5"/>
    <w:rsid w:val="00733424"/>
    <w:rsid w:val="007334FF"/>
    <w:rsid w:val="007336C1"/>
    <w:rsid w:val="007337B7"/>
    <w:rsid w:val="00734277"/>
    <w:rsid w:val="00734D42"/>
    <w:rsid w:val="00737519"/>
    <w:rsid w:val="007407C3"/>
    <w:rsid w:val="00740D50"/>
    <w:rsid w:val="00744577"/>
    <w:rsid w:val="00744B42"/>
    <w:rsid w:val="00744BD8"/>
    <w:rsid w:val="00745B9A"/>
    <w:rsid w:val="00745D5F"/>
    <w:rsid w:val="007470C7"/>
    <w:rsid w:val="00747B7B"/>
    <w:rsid w:val="00750A6B"/>
    <w:rsid w:val="00750F0D"/>
    <w:rsid w:val="00750F1A"/>
    <w:rsid w:val="00751FC6"/>
    <w:rsid w:val="0075218D"/>
    <w:rsid w:val="0075318F"/>
    <w:rsid w:val="00754679"/>
    <w:rsid w:val="00755028"/>
    <w:rsid w:val="007551F3"/>
    <w:rsid w:val="007563FE"/>
    <w:rsid w:val="007600A3"/>
    <w:rsid w:val="00761BAB"/>
    <w:rsid w:val="00762B1B"/>
    <w:rsid w:val="007635AA"/>
    <w:rsid w:val="007640FC"/>
    <w:rsid w:val="00764937"/>
    <w:rsid w:val="00764DE7"/>
    <w:rsid w:val="00765997"/>
    <w:rsid w:val="0076616A"/>
    <w:rsid w:val="007675D0"/>
    <w:rsid w:val="00767AEA"/>
    <w:rsid w:val="00767FE2"/>
    <w:rsid w:val="00771BAF"/>
    <w:rsid w:val="00772F29"/>
    <w:rsid w:val="007750A3"/>
    <w:rsid w:val="0077545A"/>
    <w:rsid w:val="00775B97"/>
    <w:rsid w:val="00776CD6"/>
    <w:rsid w:val="00777FDD"/>
    <w:rsid w:val="00780819"/>
    <w:rsid w:val="00781B8C"/>
    <w:rsid w:val="0078213A"/>
    <w:rsid w:val="00782445"/>
    <w:rsid w:val="007832A6"/>
    <w:rsid w:val="00784A1B"/>
    <w:rsid w:val="00784CF6"/>
    <w:rsid w:val="00784EB7"/>
    <w:rsid w:val="007857FA"/>
    <w:rsid w:val="00785C4F"/>
    <w:rsid w:val="00785CEA"/>
    <w:rsid w:val="007920D5"/>
    <w:rsid w:val="00792D51"/>
    <w:rsid w:val="0079491C"/>
    <w:rsid w:val="00794A1E"/>
    <w:rsid w:val="00797741"/>
    <w:rsid w:val="007A034C"/>
    <w:rsid w:val="007A2A9B"/>
    <w:rsid w:val="007A3F5A"/>
    <w:rsid w:val="007A40AA"/>
    <w:rsid w:val="007A40D0"/>
    <w:rsid w:val="007A5EDE"/>
    <w:rsid w:val="007A7456"/>
    <w:rsid w:val="007A78EB"/>
    <w:rsid w:val="007B0187"/>
    <w:rsid w:val="007B05FA"/>
    <w:rsid w:val="007B0A56"/>
    <w:rsid w:val="007B0A69"/>
    <w:rsid w:val="007B18FE"/>
    <w:rsid w:val="007B3417"/>
    <w:rsid w:val="007B388D"/>
    <w:rsid w:val="007B4806"/>
    <w:rsid w:val="007B53D7"/>
    <w:rsid w:val="007B61E5"/>
    <w:rsid w:val="007B6C46"/>
    <w:rsid w:val="007B7201"/>
    <w:rsid w:val="007B7A41"/>
    <w:rsid w:val="007C0071"/>
    <w:rsid w:val="007C1951"/>
    <w:rsid w:val="007C2D35"/>
    <w:rsid w:val="007C40BB"/>
    <w:rsid w:val="007C5345"/>
    <w:rsid w:val="007C58C2"/>
    <w:rsid w:val="007C63A1"/>
    <w:rsid w:val="007C6FA7"/>
    <w:rsid w:val="007C77C0"/>
    <w:rsid w:val="007D030B"/>
    <w:rsid w:val="007D0E7B"/>
    <w:rsid w:val="007D122A"/>
    <w:rsid w:val="007D15B9"/>
    <w:rsid w:val="007D1A1D"/>
    <w:rsid w:val="007D1FFB"/>
    <w:rsid w:val="007D35C9"/>
    <w:rsid w:val="007D3BF9"/>
    <w:rsid w:val="007D40ED"/>
    <w:rsid w:val="007D426B"/>
    <w:rsid w:val="007D4D6F"/>
    <w:rsid w:val="007D6673"/>
    <w:rsid w:val="007D7781"/>
    <w:rsid w:val="007D780A"/>
    <w:rsid w:val="007D7EC7"/>
    <w:rsid w:val="007E0200"/>
    <w:rsid w:val="007E1F59"/>
    <w:rsid w:val="007E2937"/>
    <w:rsid w:val="007E2F98"/>
    <w:rsid w:val="007E3ADB"/>
    <w:rsid w:val="007E5751"/>
    <w:rsid w:val="007E783E"/>
    <w:rsid w:val="007F0991"/>
    <w:rsid w:val="007F0A3E"/>
    <w:rsid w:val="007F119C"/>
    <w:rsid w:val="007F1DF0"/>
    <w:rsid w:val="007F1E63"/>
    <w:rsid w:val="007F202A"/>
    <w:rsid w:val="007F208E"/>
    <w:rsid w:val="007F2BC4"/>
    <w:rsid w:val="007F313D"/>
    <w:rsid w:val="007F357F"/>
    <w:rsid w:val="007F4652"/>
    <w:rsid w:val="007F4EFC"/>
    <w:rsid w:val="007F556E"/>
    <w:rsid w:val="007F5B80"/>
    <w:rsid w:val="007F67D7"/>
    <w:rsid w:val="007F6A36"/>
    <w:rsid w:val="007F7654"/>
    <w:rsid w:val="008003C8"/>
    <w:rsid w:val="008029E7"/>
    <w:rsid w:val="008043AE"/>
    <w:rsid w:val="00805C6B"/>
    <w:rsid w:val="008076EA"/>
    <w:rsid w:val="00811382"/>
    <w:rsid w:val="00811530"/>
    <w:rsid w:val="00811A7D"/>
    <w:rsid w:val="00813297"/>
    <w:rsid w:val="00813840"/>
    <w:rsid w:val="0081547D"/>
    <w:rsid w:val="0081616E"/>
    <w:rsid w:val="008168A0"/>
    <w:rsid w:val="00816E86"/>
    <w:rsid w:val="00817F1F"/>
    <w:rsid w:val="0082034C"/>
    <w:rsid w:val="00820655"/>
    <w:rsid w:val="008233BB"/>
    <w:rsid w:val="00824656"/>
    <w:rsid w:val="00826283"/>
    <w:rsid w:val="00827911"/>
    <w:rsid w:val="00830CEA"/>
    <w:rsid w:val="00831D86"/>
    <w:rsid w:val="00832255"/>
    <w:rsid w:val="00832E25"/>
    <w:rsid w:val="008350D9"/>
    <w:rsid w:val="00835103"/>
    <w:rsid w:val="0083644B"/>
    <w:rsid w:val="00837213"/>
    <w:rsid w:val="00840483"/>
    <w:rsid w:val="00840825"/>
    <w:rsid w:val="00840ECF"/>
    <w:rsid w:val="00841FB2"/>
    <w:rsid w:val="00842066"/>
    <w:rsid w:val="00842277"/>
    <w:rsid w:val="008436E8"/>
    <w:rsid w:val="00844394"/>
    <w:rsid w:val="00844C9A"/>
    <w:rsid w:val="0084538B"/>
    <w:rsid w:val="00845867"/>
    <w:rsid w:val="00846437"/>
    <w:rsid w:val="00846581"/>
    <w:rsid w:val="00847EC6"/>
    <w:rsid w:val="008500D2"/>
    <w:rsid w:val="00850A0B"/>
    <w:rsid w:val="00851C83"/>
    <w:rsid w:val="008527F4"/>
    <w:rsid w:val="00853662"/>
    <w:rsid w:val="00853B1D"/>
    <w:rsid w:val="008542B9"/>
    <w:rsid w:val="00855166"/>
    <w:rsid w:val="008557B3"/>
    <w:rsid w:val="00855DA2"/>
    <w:rsid w:val="00856110"/>
    <w:rsid w:val="00856617"/>
    <w:rsid w:val="00861F1C"/>
    <w:rsid w:val="00862207"/>
    <w:rsid w:val="008629B7"/>
    <w:rsid w:val="00866767"/>
    <w:rsid w:val="00866971"/>
    <w:rsid w:val="00866FC7"/>
    <w:rsid w:val="008670F2"/>
    <w:rsid w:val="008715C6"/>
    <w:rsid w:val="00871FC6"/>
    <w:rsid w:val="008721C7"/>
    <w:rsid w:val="00872C7D"/>
    <w:rsid w:val="008743FE"/>
    <w:rsid w:val="008754B0"/>
    <w:rsid w:val="00876226"/>
    <w:rsid w:val="008823B3"/>
    <w:rsid w:val="00883BE0"/>
    <w:rsid w:val="00884455"/>
    <w:rsid w:val="00884C3A"/>
    <w:rsid w:val="00884EF4"/>
    <w:rsid w:val="00887425"/>
    <w:rsid w:val="00887BBD"/>
    <w:rsid w:val="00890A7B"/>
    <w:rsid w:val="008922F8"/>
    <w:rsid w:val="008932DE"/>
    <w:rsid w:val="00893421"/>
    <w:rsid w:val="00893EDA"/>
    <w:rsid w:val="008964BB"/>
    <w:rsid w:val="008A0620"/>
    <w:rsid w:val="008A0C99"/>
    <w:rsid w:val="008A1222"/>
    <w:rsid w:val="008A2BF6"/>
    <w:rsid w:val="008A32DC"/>
    <w:rsid w:val="008A3B53"/>
    <w:rsid w:val="008A498A"/>
    <w:rsid w:val="008A5073"/>
    <w:rsid w:val="008A5A81"/>
    <w:rsid w:val="008A67A2"/>
    <w:rsid w:val="008B3738"/>
    <w:rsid w:val="008B48AD"/>
    <w:rsid w:val="008B62F8"/>
    <w:rsid w:val="008B7EA8"/>
    <w:rsid w:val="008C0984"/>
    <w:rsid w:val="008C2520"/>
    <w:rsid w:val="008C31F0"/>
    <w:rsid w:val="008C401A"/>
    <w:rsid w:val="008C45B0"/>
    <w:rsid w:val="008C4D45"/>
    <w:rsid w:val="008C5084"/>
    <w:rsid w:val="008C651B"/>
    <w:rsid w:val="008C6FF9"/>
    <w:rsid w:val="008D051F"/>
    <w:rsid w:val="008D068B"/>
    <w:rsid w:val="008D12B9"/>
    <w:rsid w:val="008D24BB"/>
    <w:rsid w:val="008D2754"/>
    <w:rsid w:val="008D56FE"/>
    <w:rsid w:val="008D5F01"/>
    <w:rsid w:val="008D684E"/>
    <w:rsid w:val="008D6FDF"/>
    <w:rsid w:val="008D717C"/>
    <w:rsid w:val="008D77B6"/>
    <w:rsid w:val="008D7925"/>
    <w:rsid w:val="008E07D5"/>
    <w:rsid w:val="008E1000"/>
    <w:rsid w:val="008E166D"/>
    <w:rsid w:val="008E2236"/>
    <w:rsid w:val="008E2764"/>
    <w:rsid w:val="008E3EF4"/>
    <w:rsid w:val="008E51B4"/>
    <w:rsid w:val="008E548F"/>
    <w:rsid w:val="008E60C5"/>
    <w:rsid w:val="008E6404"/>
    <w:rsid w:val="008E6F5D"/>
    <w:rsid w:val="008E7434"/>
    <w:rsid w:val="008E76E5"/>
    <w:rsid w:val="008E7DDC"/>
    <w:rsid w:val="008F059D"/>
    <w:rsid w:val="008F081B"/>
    <w:rsid w:val="008F57B4"/>
    <w:rsid w:val="008F5C8A"/>
    <w:rsid w:val="008F5DE6"/>
    <w:rsid w:val="00901196"/>
    <w:rsid w:val="00902593"/>
    <w:rsid w:val="009025BB"/>
    <w:rsid w:val="00902EA4"/>
    <w:rsid w:val="0090314B"/>
    <w:rsid w:val="00903277"/>
    <w:rsid w:val="009032D7"/>
    <w:rsid w:val="009058B7"/>
    <w:rsid w:val="00906860"/>
    <w:rsid w:val="00906F1F"/>
    <w:rsid w:val="00907546"/>
    <w:rsid w:val="009077CC"/>
    <w:rsid w:val="00907A5F"/>
    <w:rsid w:val="009110C1"/>
    <w:rsid w:val="00911AA5"/>
    <w:rsid w:val="00911CCE"/>
    <w:rsid w:val="0091406D"/>
    <w:rsid w:val="00914672"/>
    <w:rsid w:val="00914C30"/>
    <w:rsid w:val="00921B9F"/>
    <w:rsid w:val="00922B13"/>
    <w:rsid w:val="009237AD"/>
    <w:rsid w:val="00925986"/>
    <w:rsid w:val="00925B5B"/>
    <w:rsid w:val="00926053"/>
    <w:rsid w:val="0092614A"/>
    <w:rsid w:val="00927BFB"/>
    <w:rsid w:val="00930776"/>
    <w:rsid w:val="009322A3"/>
    <w:rsid w:val="009341CF"/>
    <w:rsid w:val="00935B90"/>
    <w:rsid w:val="009360C2"/>
    <w:rsid w:val="00937A51"/>
    <w:rsid w:val="00937DCA"/>
    <w:rsid w:val="00941224"/>
    <w:rsid w:val="00944657"/>
    <w:rsid w:val="00946621"/>
    <w:rsid w:val="009466B8"/>
    <w:rsid w:val="00946BE6"/>
    <w:rsid w:val="00947A7F"/>
    <w:rsid w:val="00947FC6"/>
    <w:rsid w:val="0095057F"/>
    <w:rsid w:val="0095126A"/>
    <w:rsid w:val="0095138A"/>
    <w:rsid w:val="00951EAE"/>
    <w:rsid w:val="00952F5E"/>
    <w:rsid w:val="0095370A"/>
    <w:rsid w:val="0095604C"/>
    <w:rsid w:val="00957DE2"/>
    <w:rsid w:val="00957E0E"/>
    <w:rsid w:val="009602CB"/>
    <w:rsid w:val="00960FAC"/>
    <w:rsid w:val="00961452"/>
    <w:rsid w:val="00961671"/>
    <w:rsid w:val="00961860"/>
    <w:rsid w:val="00962A9D"/>
    <w:rsid w:val="00963A68"/>
    <w:rsid w:val="00964C70"/>
    <w:rsid w:val="0096524F"/>
    <w:rsid w:val="00967009"/>
    <w:rsid w:val="0096733D"/>
    <w:rsid w:val="0096758B"/>
    <w:rsid w:val="00970DB8"/>
    <w:rsid w:val="00971995"/>
    <w:rsid w:val="00972880"/>
    <w:rsid w:val="0097306D"/>
    <w:rsid w:val="00974C58"/>
    <w:rsid w:val="00976015"/>
    <w:rsid w:val="009760B2"/>
    <w:rsid w:val="00977071"/>
    <w:rsid w:val="009775AF"/>
    <w:rsid w:val="00977EC0"/>
    <w:rsid w:val="00980E83"/>
    <w:rsid w:val="00981B17"/>
    <w:rsid w:val="00982368"/>
    <w:rsid w:val="00983B57"/>
    <w:rsid w:val="00983B70"/>
    <w:rsid w:val="009843DC"/>
    <w:rsid w:val="00985A1F"/>
    <w:rsid w:val="00986C9E"/>
    <w:rsid w:val="00987A79"/>
    <w:rsid w:val="0099121A"/>
    <w:rsid w:val="00991665"/>
    <w:rsid w:val="00992BE9"/>
    <w:rsid w:val="009945ED"/>
    <w:rsid w:val="00995A5A"/>
    <w:rsid w:val="00995E9B"/>
    <w:rsid w:val="0099707F"/>
    <w:rsid w:val="00997B60"/>
    <w:rsid w:val="009A08C1"/>
    <w:rsid w:val="009A0A67"/>
    <w:rsid w:val="009A11D4"/>
    <w:rsid w:val="009A1702"/>
    <w:rsid w:val="009A1CA1"/>
    <w:rsid w:val="009A373B"/>
    <w:rsid w:val="009A3E23"/>
    <w:rsid w:val="009A4800"/>
    <w:rsid w:val="009A5235"/>
    <w:rsid w:val="009A66D1"/>
    <w:rsid w:val="009A6F30"/>
    <w:rsid w:val="009A7643"/>
    <w:rsid w:val="009B03B8"/>
    <w:rsid w:val="009B06A0"/>
    <w:rsid w:val="009B1288"/>
    <w:rsid w:val="009B2CB3"/>
    <w:rsid w:val="009B3A9C"/>
    <w:rsid w:val="009B3F8F"/>
    <w:rsid w:val="009B652A"/>
    <w:rsid w:val="009B6BF7"/>
    <w:rsid w:val="009B707E"/>
    <w:rsid w:val="009B7C1D"/>
    <w:rsid w:val="009C1591"/>
    <w:rsid w:val="009C1A94"/>
    <w:rsid w:val="009C1D2D"/>
    <w:rsid w:val="009C1FDC"/>
    <w:rsid w:val="009C293E"/>
    <w:rsid w:val="009C2C65"/>
    <w:rsid w:val="009C3166"/>
    <w:rsid w:val="009C3888"/>
    <w:rsid w:val="009C39E7"/>
    <w:rsid w:val="009C3EAD"/>
    <w:rsid w:val="009C442C"/>
    <w:rsid w:val="009C57B2"/>
    <w:rsid w:val="009C598F"/>
    <w:rsid w:val="009C75F1"/>
    <w:rsid w:val="009C779C"/>
    <w:rsid w:val="009C7A99"/>
    <w:rsid w:val="009C7BC9"/>
    <w:rsid w:val="009C7EF4"/>
    <w:rsid w:val="009D1253"/>
    <w:rsid w:val="009D126C"/>
    <w:rsid w:val="009D2387"/>
    <w:rsid w:val="009D293A"/>
    <w:rsid w:val="009D4B50"/>
    <w:rsid w:val="009D608E"/>
    <w:rsid w:val="009D6367"/>
    <w:rsid w:val="009D7DF9"/>
    <w:rsid w:val="009E0906"/>
    <w:rsid w:val="009E12FA"/>
    <w:rsid w:val="009E130B"/>
    <w:rsid w:val="009E1A44"/>
    <w:rsid w:val="009E3422"/>
    <w:rsid w:val="009E5568"/>
    <w:rsid w:val="009E6837"/>
    <w:rsid w:val="009E7A8C"/>
    <w:rsid w:val="009F0FCA"/>
    <w:rsid w:val="009F1052"/>
    <w:rsid w:val="009F1EBC"/>
    <w:rsid w:val="009F228E"/>
    <w:rsid w:val="009F29C0"/>
    <w:rsid w:val="009F3436"/>
    <w:rsid w:val="009F5F5D"/>
    <w:rsid w:val="00A01466"/>
    <w:rsid w:val="00A01B52"/>
    <w:rsid w:val="00A02A42"/>
    <w:rsid w:val="00A03C5C"/>
    <w:rsid w:val="00A0616D"/>
    <w:rsid w:val="00A06321"/>
    <w:rsid w:val="00A0766D"/>
    <w:rsid w:val="00A10A9F"/>
    <w:rsid w:val="00A11F08"/>
    <w:rsid w:val="00A12399"/>
    <w:rsid w:val="00A12C6D"/>
    <w:rsid w:val="00A1334E"/>
    <w:rsid w:val="00A137F4"/>
    <w:rsid w:val="00A146BD"/>
    <w:rsid w:val="00A14F60"/>
    <w:rsid w:val="00A15CB5"/>
    <w:rsid w:val="00A1797C"/>
    <w:rsid w:val="00A1799D"/>
    <w:rsid w:val="00A20C05"/>
    <w:rsid w:val="00A220C6"/>
    <w:rsid w:val="00A23A5F"/>
    <w:rsid w:val="00A23B75"/>
    <w:rsid w:val="00A2507B"/>
    <w:rsid w:val="00A2508A"/>
    <w:rsid w:val="00A25FFE"/>
    <w:rsid w:val="00A273B5"/>
    <w:rsid w:val="00A27DD9"/>
    <w:rsid w:val="00A27DDE"/>
    <w:rsid w:val="00A27F95"/>
    <w:rsid w:val="00A305FA"/>
    <w:rsid w:val="00A31E07"/>
    <w:rsid w:val="00A33175"/>
    <w:rsid w:val="00A344B6"/>
    <w:rsid w:val="00A35B0C"/>
    <w:rsid w:val="00A36292"/>
    <w:rsid w:val="00A36687"/>
    <w:rsid w:val="00A36A97"/>
    <w:rsid w:val="00A36FE9"/>
    <w:rsid w:val="00A4058E"/>
    <w:rsid w:val="00A4223C"/>
    <w:rsid w:val="00A42E7C"/>
    <w:rsid w:val="00A43490"/>
    <w:rsid w:val="00A4533E"/>
    <w:rsid w:val="00A4653B"/>
    <w:rsid w:val="00A46A19"/>
    <w:rsid w:val="00A4794C"/>
    <w:rsid w:val="00A50C94"/>
    <w:rsid w:val="00A51372"/>
    <w:rsid w:val="00A51A48"/>
    <w:rsid w:val="00A535CF"/>
    <w:rsid w:val="00A539F4"/>
    <w:rsid w:val="00A53C3F"/>
    <w:rsid w:val="00A5735E"/>
    <w:rsid w:val="00A579DF"/>
    <w:rsid w:val="00A60ABF"/>
    <w:rsid w:val="00A615BC"/>
    <w:rsid w:val="00A622C2"/>
    <w:rsid w:val="00A62E6E"/>
    <w:rsid w:val="00A63E2F"/>
    <w:rsid w:val="00A63F4F"/>
    <w:rsid w:val="00A64353"/>
    <w:rsid w:val="00A64E55"/>
    <w:rsid w:val="00A6572D"/>
    <w:rsid w:val="00A66045"/>
    <w:rsid w:val="00A6637F"/>
    <w:rsid w:val="00A66AF5"/>
    <w:rsid w:val="00A67C47"/>
    <w:rsid w:val="00A72C2D"/>
    <w:rsid w:val="00A733D5"/>
    <w:rsid w:val="00A744B2"/>
    <w:rsid w:val="00A751DB"/>
    <w:rsid w:val="00A80E93"/>
    <w:rsid w:val="00A8365B"/>
    <w:rsid w:val="00A83744"/>
    <w:rsid w:val="00A8408C"/>
    <w:rsid w:val="00A8409B"/>
    <w:rsid w:val="00A8438E"/>
    <w:rsid w:val="00A84633"/>
    <w:rsid w:val="00A85242"/>
    <w:rsid w:val="00A90744"/>
    <w:rsid w:val="00A919E0"/>
    <w:rsid w:val="00A924A8"/>
    <w:rsid w:val="00A92640"/>
    <w:rsid w:val="00A942F7"/>
    <w:rsid w:val="00A948EF"/>
    <w:rsid w:val="00A949F0"/>
    <w:rsid w:val="00A950F3"/>
    <w:rsid w:val="00A95236"/>
    <w:rsid w:val="00A96649"/>
    <w:rsid w:val="00A96EA4"/>
    <w:rsid w:val="00A970B9"/>
    <w:rsid w:val="00AA2AB7"/>
    <w:rsid w:val="00AA67B9"/>
    <w:rsid w:val="00AA7440"/>
    <w:rsid w:val="00AB07FA"/>
    <w:rsid w:val="00AB158D"/>
    <w:rsid w:val="00AB3983"/>
    <w:rsid w:val="00AB4633"/>
    <w:rsid w:val="00AB551D"/>
    <w:rsid w:val="00AB569F"/>
    <w:rsid w:val="00AB59A4"/>
    <w:rsid w:val="00AB79D0"/>
    <w:rsid w:val="00AB7E4F"/>
    <w:rsid w:val="00AC0A6E"/>
    <w:rsid w:val="00AC1DAC"/>
    <w:rsid w:val="00AC4BD1"/>
    <w:rsid w:val="00AC59BA"/>
    <w:rsid w:val="00AC5E39"/>
    <w:rsid w:val="00AC7302"/>
    <w:rsid w:val="00AC7C33"/>
    <w:rsid w:val="00AD14B3"/>
    <w:rsid w:val="00AD1B5F"/>
    <w:rsid w:val="00AD2DB8"/>
    <w:rsid w:val="00AD41D4"/>
    <w:rsid w:val="00AD4800"/>
    <w:rsid w:val="00AD55F5"/>
    <w:rsid w:val="00AD6A36"/>
    <w:rsid w:val="00AD6D39"/>
    <w:rsid w:val="00AD703C"/>
    <w:rsid w:val="00AD7BC5"/>
    <w:rsid w:val="00AD7C9C"/>
    <w:rsid w:val="00AD7EFE"/>
    <w:rsid w:val="00AE29F2"/>
    <w:rsid w:val="00AE31E6"/>
    <w:rsid w:val="00AE4010"/>
    <w:rsid w:val="00AE5158"/>
    <w:rsid w:val="00AE5CE2"/>
    <w:rsid w:val="00AE7CA7"/>
    <w:rsid w:val="00AE7EEE"/>
    <w:rsid w:val="00AF012D"/>
    <w:rsid w:val="00AF0244"/>
    <w:rsid w:val="00AF14FE"/>
    <w:rsid w:val="00AF209E"/>
    <w:rsid w:val="00AF3641"/>
    <w:rsid w:val="00AF3F9C"/>
    <w:rsid w:val="00AF45C4"/>
    <w:rsid w:val="00AF6899"/>
    <w:rsid w:val="00B00E15"/>
    <w:rsid w:val="00B01409"/>
    <w:rsid w:val="00B02562"/>
    <w:rsid w:val="00B02727"/>
    <w:rsid w:val="00B03567"/>
    <w:rsid w:val="00B0437C"/>
    <w:rsid w:val="00B06A23"/>
    <w:rsid w:val="00B07BBD"/>
    <w:rsid w:val="00B128F6"/>
    <w:rsid w:val="00B135BB"/>
    <w:rsid w:val="00B14215"/>
    <w:rsid w:val="00B1622A"/>
    <w:rsid w:val="00B162C7"/>
    <w:rsid w:val="00B16ADA"/>
    <w:rsid w:val="00B17601"/>
    <w:rsid w:val="00B17603"/>
    <w:rsid w:val="00B211EC"/>
    <w:rsid w:val="00B21411"/>
    <w:rsid w:val="00B21E6F"/>
    <w:rsid w:val="00B22787"/>
    <w:rsid w:val="00B25616"/>
    <w:rsid w:val="00B27158"/>
    <w:rsid w:val="00B27C30"/>
    <w:rsid w:val="00B30E6F"/>
    <w:rsid w:val="00B310C9"/>
    <w:rsid w:val="00B32BF7"/>
    <w:rsid w:val="00B3425D"/>
    <w:rsid w:val="00B34311"/>
    <w:rsid w:val="00B34E3F"/>
    <w:rsid w:val="00B354DF"/>
    <w:rsid w:val="00B37353"/>
    <w:rsid w:val="00B4034F"/>
    <w:rsid w:val="00B407DF"/>
    <w:rsid w:val="00B414B3"/>
    <w:rsid w:val="00B4337E"/>
    <w:rsid w:val="00B46AF2"/>
    <w:rsid w:val="00B46E7A"/>
    <w:rsid w:val="00B47429"/>
    <w:rsid w:val="00B5217E"/>
    <w:rsid w:val="00B53109"/>
    <w:rsid w:val="00B535A2"/>
    <w:rsid w:val="00B53D66"/>
    <w:rsid w:val="00B53D87"/>
    <w:rsid w:val="00B545C9"/>
    <w:rsid w:val="00B558BA"/>
    <w:rsid w:val="00B55A65"/>
    <w:rsid w:val="00B572CA"/>
    <w:rsid w:val="00B60545"/>
    <w:rsid w:val="00B61951"/>
    <w:rsid w:val="00B61F2E"/>
    <w:rsid w:val="00B621EA"/>
    <w:rsid w:val="00B6298E"/>
    <w:rsid w:val="00B62E06"/>
    <w:rsid w:val="00B64310"/>
    <w:rsid w:val="00B64EAD"/>
    <w:rsid w:val="00B65411"/>
    <w:rsid w:val="00B6680A"/>
    <w:rsid w:val="00B67F58"/>
    <w:rsid w:val="00B7026E"/>
    <w:rsid w:val="00B70A0C"/>
    <w:rsid w:val="00B71144"/>
    <w:rsid w:val="00B71AAD"/>
    <w:rsid w:val="00B77BB3"/>
    <w:rsid w:val="00B80C97"/>
    <w:rsid w:val="00B8130B"/>
    <w:rsid w:val="00B83905"/>
    <w:rsid w:val="00B84DD6"/>
    <w:rsid w:val="00B84F7C"/>
    <w:rsid w:val="00B857F0"/>
    <w:rsid w:val="00B90E75"/>
    <w:rsid w:val="00B930D5"/>
    <w:rsid w:val="00B94FD7"/>
    <w:rsid w:val="00B95E5D"/>
    <w:rsid w:val="00B967A6"/>
    <w:rsid w:val="00B96D24"/>
    <w:rsid w:val="00B97184"/>
    <w:rsid w:val="00B97255"/>
    <w:rsid w:val="00BA0416"/>
    <w:rsid w:val="00BA0AB3"/>
    <w:rsid w:val="00BA0EE4"/>
    <w:rsid w:val="00BA1099"/>
    <w:rsid w:val="00BA12F5"/>
    <w:rsid w:val="00BA25C7"/>
    <w:rsid w:val="00BA3801"/>
    <w:rsid w:val="00BA5032"/>
    <w:rsid w:val="00BA604E"/>
    <w:rsid w:val="00BA605E"/>
    <w:rsid w:val="00BA629F"/>
    <w:rsid w:val="00BA7433"/>
    <w:rsid w:val="00BA7855"/>
    <w:rsid w:val="00BB2250"/>
    <w:rsid w:val="00BB31D5"/>
    <w:rsid w:val="00BB4AF0"/>
    <w:rsid w:val="00BB54A2"/>
    <w:rsid w:val="00BB6318"/>
    <w:rsid w:val="00BB6C00"/>
    <w:rsid w:val="00BB717B"/>
    <w:rsid w:val="00BB7389"/>
    <w:rsid w:val="00BB7462"/>
    <w:rsid w:val="00BB7C0F"/>
    <w:rsid w:val="00BC1066"/>
    <w:rsid w:val="00BC136D"/>
    <w:rsid w:val="00BC2167"/>
    <w:rsid w:val="00BC2BF9"/>
    <w:rsid w:val="00BC30FD"/>
    <w:rsid w:val="00BC394D"/>
    <w:rsid w:val="00BC3E18"/>
    <w:rsid w:val="00BC4B74"/>
    <w:rsid w:val="00BC70EB"/>
    <w:rsid w:val="00BD2DFE"/>
    <w:rsid w:val="00BD2F43"/>
    <w:rsid w:val="00BE0714"/>
    <w:rsid w:val="00BE092E"/>
    <w:rsid w:val="00BE15BA"/>
    <w:rsid w:val="00BE200B"/>
    <w:rsid w:val="00BE24B6"/>
    <w:rsid w:val="00BE2C60"/>
    <w:rsid w:val="00BE3181"/>
    <w:rsid w:val="00BE3C8B"/>
    <w:rsid w:val="00BE5B09"/>
    <w:rsid w:val="00BE60D7"/>
    <w:rsid w:val="00BF04D8"/>
    <w:rsid w:val="00BF05C3"/>
    <w:rsid w:val="00BF0F7C"/>
    <w:rsid w:val="00BF2068"/>
    <w:rsid w:val="00BF289E"/>
    <w:rsid w:val="00BF2BCB"/>
    <w:rsid w:val="00BF318E"/>
    <w:rsid w:val="00BF3C91"/>
    <w:rsid w:val="00BF3EFD"/>
    <w:rsid w:val="00BF4018"/>
    <w:rsid w:val="00BF4265"/>
    <w:rsid w:val="00BF4DA5"/>
    <w:rsid w:val="00BF5311"/>
    <w:rsid w:val="00BF73EC"/>
    <w:rsid w:val="00BF760A"/>
    <w:rsid w:val="00BF7E35"/>
    <w:rsid w:val="00C0059F"/>
    <w:rsid w:val="00C00A40"/>
    <w:rsid w:val="00C02E38"/>
    <w:rsid w:val="00C0353B"/>
    <w:rsid w:val="00C036DC"/>
    <w:rsid w:val="00C04EB4"/>
    <w:rsid w:val="00C04F80"/>
    <w:rsid w:val="00C10257"/>
    <w:rsid w:val="00C10548"/>
    <w:rsid w:val="00C10D33"/>
    <w:rsid w:val="00C12657"/>
    <w:rsid w:val="00C1372E"/>
    <w:rsid w:val="00C137A1"/>
    <w:rsid w:val="00C13974"/>
    <w:rsid w:val="00C13AB7"/>
    <w:rsid w:val="00C14335"/>
    <w:rsid w:val="00C14699"/>
    <w:rsid w:val="00C14859"/>
    <w:rsid w:val="00C15570"/>
    <w:rsid w:val="00C15BE7"/>
    <w:rsid w:val="00C16658"/>
    <w:rsid w:val="00C17B75"/>
    <w:rsid w:val="00C20F8C"/>
    <w:rsid w:val="00C23937"/>
    <w:rsid w:val="00C25BD1"/>
    <w:rsid w:val="00C279BF"/>
    <w:rsid w:val="00C279CC"/>
    <w:rsid w:val="00C302B4"/>
    <w:rsid w:val="00C33022"/>
    <w:rsid w:val="00C33A37"/>
    <w:rsid w:val="00C34165"/>
    <w:rsid w:val="00C34167"/>
    <w:rsid w:val="00C35388"/>
    <w:rsid w:val="00C40CDC"/>
    <w:rsid w:val="00C41692"/>
    <w:rsid w:val="00C4409E"/>
    <w:rsid w:val="00C440A2"/>
    <w:rsid w:val="00C5074F"/>
    <w:rsid w:val="00C507CB"/>
    <w:rsid w:val="00C513CF"/>
    <w:rsid w:val="00C55BC4"/>
    <w:rsid w:val="00C561D6"/>
    <w:rsid w:val="00C56E7B"/>
    <w:rsid w:val="00C573DB"/>
    <w:rsid w:val="00C61272"/>
    <w:rsid w:val="00C612CF"/>
    <w:rsid w:val="00C61B3D"/>
    <w:rsid w:val="00C61BBC"/>
    <w:rsid w:val="00C628C2"/>
    <w:rsid w:val="00C65408"/>
    <w:rsid w:val="00C65429"/>
    <w:rsid w:val="00C65835"/>
    <w:rsid w:val="00C6592C"/>
    <w:rsid w:val="00C664E7"/>
    <w:rsid w:val="00C66A71"/>
    <w:rsid w:val="00C6754A"/>
    <w:rsid w:val="00C678B5"/>
    <w:rsid w:val="00C70044"/>
    <w:rsid w:val="00C704BE"/>
    <w:rsid w:val="00C709B9"/>
    <w:rsid w:val="00C70EE2"/>
    <w:rsid w:val="00C71588"/>
    <w:rsid w:val="00C71D2A"/>
    <w:rsid w:val="00C748B9"/>
    <w:rsid w:val="00C75968"/>
    <w:rsid w:val="00C76004"/>
    <w:rsid w:val="00C7606A"/>
    <w:rsid w:val="00C7626E"/>
    <w:rsid w:val="00C762B7"/>
    <w:rsid w:val="00C76FCE"/>
    <w:rsid w:val="00C77C84"/>
    <w:rsid w:val="00C80A19"/>
    <w:rsid w:val="00C841F8"/>
    <w:rsid w:val="00C87C76"/>
    <w:rsid w:val="00C90258"/>
    <w:rsid w:val="00C9086D"/>
    <w:rsid w:val="00C90ED7"/>
    <w:rsid w:val="00C91FA9"/>
    <w:rsid w:val="00C946E4"/>
    <w:rsid w:val="00C96174"/>
    <w:rsid w:val="00C96A45"/>
    <w:rsid w:val="00C97629"/>
    <w:rsid w:val="00C97DCC"/>
    <w:rsid w:val="00CA0200"/>
    <w:rsid w:val="00CA3C71"/>
    <w:rsid w:val="00CA4F8E"/>
    <w:rsid w:val="00CA59D4"/>
    <w:rsid w:val="00CA5FF5"/>
    <w:rsid w:val="00CA7FE4"/>
    <w:rsid w:val="00CB08BE"/>
    <w:rsid w:val="00CB0D40"/>
    <w:rsid w:val="00CB2A48"/>
    <w:rsid w:val="00CB32E1"/>
    <w:rsid w:val="00CB345E"/>
    <w:rsid w:val="00CB4F5F"/>
    <w:rsid w:val="00CB613C"/>
    <w:rsid w:val="00CB7630"/>
    <w:rsid w:val="00CC1D07"/>
    <w:rsid w:val="00CC1FD6"/>
    <w:rsid w:val="00CC20B2"/>
    <w:rsid w:val="00CC2725"/>
    <w:rsid w:val="00CC4BD1"/>
    <w:rsid w:val="00CC71A8"/>
    <w:rsid w:val="00CD0084"/>
    <w:rsid w:val="00CD0361"/>
    <w:rsid w:val="00CD09BF"/>
    <w:rsid w:val="00CD3238"/>
    <w:rsid w:val="00CD338A"/>
    <w:rsid w:val="00CD5B10"/>
    <w:rsid w:val="00CD614A"/>
    <w:rsid w:val="00CE0E67"/>
    <w:rsid w:val="00CE0ED7"/>
    <w:rsid w:val="00CE0F26"/>
    <w:rsid w:val="00CE76B0"/>
    <w:rsid w:val="00CF3120"/>
    <w:rsid w:val="00CF39D1"/>
    <w:rsid w:val="00CF5E4D"/>
    <w:rsid w:val="00D004BE"/>
    <w:rsid w:val="00D0070C"/>
    <w:rsid w:val="00D018C1"/>
    <w:rsid w:val="00D0370D"/>
    <w:rsid w:val="00D03981"/>
    <w:rsid w:val="00D03AEE"/>
    <w:rsid w:val="00D05040"/>
    <w:rsid w:val="00D05164"/>
    <w:rsid w:val="00D05825"/>
    <w:rsid w:val="00D059FB"/>
    <w:rsid w:val="00D06E8E"/>
    <w:rsid w:val="00D072C4"/>
    <w:rsid w:val="00D07591"/>
    <w:rsid w:val="00D07C06"/>
    <w:rsid w:val="00D11495"/>
    <w:rsid w:val="00D131CF"/>
    <w:rsid w:val="00D13851"/>
    <w:rsid w:val="00D13F54"/>
    <w:rsid w:val="00D14057"/>
    <w:rsid w:val="00D149CB"/>
    <w:rsid w:val="00D15CD4"/>
    <w:rsid w:val="00D16499"/>
    <w:rsid w:val="00D17283"/>
    <w:rsid w:val="00D1768D"/>
    <w:rsid w:val="00D20232"/>
    <w:rsid w:val="00D20333"/>
    <w:rsid w:val="00D21C1F"/>
    <w:rsid w:val="00D234E4"/>
    <w:rsid w:val="00D239EE"/>
    <w:rsid w:val="00D24793"/>
    <w:rsid w:val="00D25185"/>
    <w:rsid w:val="00D25243"/>
    <w:rsid w:val="00D26EBB"/>
    <w:rsid w:val="00D30930"/>
    <w:rsid w:val="00D30BA2"/>
    <w:rsid w:val="00D32BF9"/>
    <w:rsid w:val="00D3306F"/>
    <w:rsid w:val="00D33F89"/>
    <w:rsid w:val="00D3482E"/>
    <w:rsid w:val="00D353CF"/>
    <w:rsid w:val="00D3662B"/>
    <w:rsid w:val="00D36DE2"/>
    <w:rsid w:val="00D407C6"/>
    <w:rsid w:val="00D40DDF"/>
    <w:rsid w:val="00D4150C"/>
    <w:rsid w:val="00D41A03"/>
    <w:rsid w:val="00D43899"/>
    <w:rsid w:val="00D43CCA"/>
    <w:rsid w:val="00D43DD5"/>
    <w:rsid w:val="00D4691C"/>
    <w:rsid w:val="00D47574"/>
    <w:rsid w:val="00D47A9C"/>
    <w:rsid w:val="00D50060"/>
    <w:rsid w:val="00D50604"/>
    <w:rsid w:val="00D51A9C"/>
    <w:rsid w:val="00D52F7D"/>
    <w:rsid w:val="00D54E1A"/>
    <w:rsid w:val="00D55B41"/>
    <w:rsid w:val="00D55F6D"/>
    <w:rsid w:val="00D56004"/>
    <w:rsid w:val="00D56E4F"/>
    <w:rsid w:val="00D56E8F"/>
    <w:rsid w:val="00D57509"/>
    <w:rsid w:val="00D575F0"/>
    <w:rsid w:val="00D60CB1"/>
    <w:rsid w:val="00D61E2D"/>
    <w:rsid w:val="00D62C3B"/>
    <w:rsid w:val="00D63204"/>
    <w:rsid w:val="00D64F70"/>
    <w:rsid w:val="00D659EF"/>
    <w:rsid w:val="00D6603E"/>
    <w:rsid w:val="00D670C2"/>
    <w:rsid w:val="00D70789"/>
    <w:rsid w:val="00D7140C"/>
    <w:rsid w:val="00D71A91"/>
    <w:rsid w:val="00D71E11"/>
    <w:rsid w:val="00D72363"/>
    <w:rsid w:val="00D74951"/>
    <w:rsid w:val="00D74A8F"/>
    <w:rsid w:val="00D7536A"/>
    <w:rsid w:val="00D75AAC"/>
    <w:rsid w:val="00D76615"/>
    <w:rsid w:val="00D76A91"/>
    <w:rsid w:val="00D8021B"/>
    <w:rsid w:val="00D802B6"/>
    <w:rsid w:val="00D80A56"/>
    <w:rsid w:val="00D80B8B"/>
    <w:rsid w:val="00D82D44"/>
    <w:rsid w:val="00D8416F"/>
    <w:rsid w:val="00D84711"/>
    <w:rsid w:val="00D84BE0"/>
    <w:rsid w:val="00D85299"/>
    <w:rsid w:val="00D85369"/>
    <w:rsid w:val="00D857F5"/>
    <w:rsid w:val="00D8672C"/>
    <w:rsid w:val="00D90C71"/>
    <w:rsid w:val="00D91511"/>
    <w:rsid w:val="00D91CC3"/>
    <w:rsid w:val="00D92571"/>
    <w:rsid w:val="00D925EB"/>
    <w:rsid w:val="00D932B6"/>
    <w:rsid w:val="00D935EA"/>
    <w:rsid w:val="00D9435B"/>
    <w:rsid w:val="00D944DC"/>
    <w:rsid w:val="00D96207"/>
    <w:rsid w:val="00D96960"/>
    <w:rsid w:val="00D9715A"/>
    <w:rsid w:val="00D97762"/>
    <w:rsid w:val="00D977CE"/>
    <w:rsid w:val="00D97F2C"/>
    <w:rsid w:val="00DA0936"/>
    <w:rsid w:val="00DA1B5C"/>
    <w:rsid w:val="00DA241D"/>
    <w:rsid w:val="00DA725D"/>
    <w:rsid w:val="00DA741F"/>
    <w:rsid w:val="00DB1B75"/>
    <w:rsid w:val="00DB1C64"/>
    <w:rsid w:val="00DB264B"/>
    <w:rsid w:val="00DB28BC"/>
    <w:rsid w:val="00DB2C1F"/>
    <w:rsid w:val="00DB32C1"/>
    <w:rsid w:val="00DB48C9"/>
    <w:rsid w:val="00DB49EF"/>
    <w:rsid w:val="00DB66E5"/>
    <w:rsid w:val="00DB6889"/>
    <w:rsid w:val="00DB6CCF"/>
    <w:rsid w:val="00DB7933"/>
    <w:rsid w:val="00DB7E02"/>
    <w:rsid w:val="00DC0BA1"/>
    <w:rsid w:val="00DC1A47"/>
    <w:rsid w:val="00DC2521"/>
    <w:rsid w:val="00DC2B5F"/>
    <w:rsid w:val="00DC2EF1"/>
    <w:rsid w:val="00DC34B5"/>
    <w:rsid w:val="00DC3690"/>
    <w:rsid w:val="00DC3FB6"/>
    <w:rsid w:val="00DC55DF"/>
    <w:rsid w:val="00DC5B48"/>
    <w:rsid w:val="00DC5EB7"/>
    <w:rsid w:val="00DC6FA4"/>
    <w:rsid w:val="00DD0022"/>
    <w:rsid w:val="00DD0201"/>
    <w:rsid w:val="00DD091A"/>
    <w:rsid w:val="00DD241C"/>
    <w:rsid w:val="00DD35FA"/>
    <w:rsid w:val="00DD4137"/>
    <w:rsid w:val="00DD4676"/>
    <w:rsid w:val="00DD4927"/>
    <w:rsid w:val="00DD4F29"/>
    <w:rsid w:val="00DD6F6B"/>
    <w:rsid w:val="00DE07A1"/>
    <w:rsid w:val="00DE10E0"/>
    <w:rsid w:val="00DE12A2"/>
    <w:rsid w:val="00DE22C2"/>
    <w:rsid w:val="00DE37FF"/>
    <w:rsid w:val="00DE3948"/>
    <w:rsid w:val="00DE5738"/>
    <w:rsid w:val="00DE5E9B"/>
    <w:rsid w:val="00DE7DFD"/>
    <w:rsid w:val="00DE7E39"/>
    <w:rsid w:val="00DF17B0"/>
    <w:rsid w:val="00DF25CF"/>
    <w:rsid w:val="00DF2E57"/>
    <w:rsid w:val="00DF4578"/>
    <w:rsid w:val="00DF60FA"/>
    <w:rsid w:val="00DF6652"/>
    <w:rsid w:val="00DF6970"/>
    <w:rsid w:val="00DF6B7E"/>
    <w:rsid w:val="00DF6DFA"/>
    <w:rsid w:val="00DF70B3"/>
    <w:rsid w:val="00E016F9"/>
    <w:rsid w:val="00E01C81"/>
    <w:rsid w:val="00E021E2"/>
    <w:rsid w:val="00E035B9"/>
    <w:rsid w:val="00E03C52"/>
    <w:rsid w:val="00E041B2"/>
    <w:rsid w:val="00E04224"/>
    <w:rsid w:val="00E042D6"/>
    <w:rsid w:val="00E059E9"/>
    <w:rsid w:val="00E06D58"/>
    <w:rsid w:val="00E070F2"/>
    <w:rsid w:val="00E07305"/>
    <w:rsid w:val="00E10270"/>
    <w:rsid w:val="00E10D3C"/>
    <w:rsid w:val="00E118D2"/>
    <w:rsid w:val="00E11F18"/>
    <w:rsid w:val="00E12143"/>
    <w:rsid w:val="00E138B3"/>
    <w:rsid w:val="00E1472A"/>
    <w:rsid w:val="00E151B9"/>
    <w:rsid w:val="00E16C50"/>
    <w:rsid w:val="00E203E0"/>
    <w:rsid w:val="00E21284"/>
    <w:rsid w:val="00E222D6"/>
    <w:rsid w:val="00E22440"/>
    <w:rsid w:val="00E224D3"/>
    <w:rsid w:val="00E23360"/>
    <w:rsid w:val="00E235CB"/>
    <w:rsid w:val="00E23AE5"/>
    <w:rsid w:val="00E26A67"/>
    <w:rsid w:val="00E27748"/>
    <w:rsid w:val="00E277CE"/>
    <w:rsid w:val="00E30EA3"/>
    <w:rsid w:val="00E310BC"/>
    <w:rsid w:val="00E3230A"/>
    <w:rsid w:val="00E327E3"/>
    <w:rsid w:val="00E331C8"/>
    <w:rsid w:val="00E33290"/>
    <w:rsid w:val="00E34925"/>
    <w:rsid w:val="00E34BBA"/>
    <w:rsid w:val="00E360F9"/>
    <w:rsid w:val="00E4098E"/>
    <w:rsid w:val="00E4164E"/>
    <w:rsid w:val="00E423AA"/>
    <w:rsid w:val="00E426F7"/>
    <w:rsid w:val="00E42A28"/>
    <w:rsid w:val="00E42E4C"/>
    <w:rsid w:val="00E42E79"/>
    <w:rsid w:val="00E43BE4"/>
    <w:rsid w:val="00E44BCC"/>
    <w:rsid w:val="00E44EC8"/>
    <w:rsid w:val="00E44F86"/>
    <w:rsid w:val="00E46026"/>
    <w:rsid w:val="00E4639D"/>
    <w:rsid w:val="00E476A2"/>
    <w:rsid w:val="00E4799B"/>
    <w:rsid w:val="00E51C8D"/>
    <w:rsid w:val="00E6108D"/>
    <w:rsid w:val="00E617B4"/>
    <w:rsid w:val="00E636D5"/>
    <w:rsid w:val="00E63722"/>
    <w:rsid w:val="00E64798"/>
    <w:rsid w:val="00E6532E"/>
    <w:rsid w:val="00E6580F"/>
    <w:rsid w:val="00E65BF0"/>
    <w:rsid w:val="00E65F4A"/>
    <w:rsid w:val="00E6641C"/>
    <w:rsid w:val="00E66563"/>
    <w:rsid w:val="00E67081"/>
    <w:rsid w:val="00E7116C"/>
    <w:rsid w:val="00E73F76"/>
    <w:rsid w:val="00E75126"/>
    <w:rsid w:val="00E752CE"/>
    <w:rsid w:val="00E75A98"/>
    <w:rsid w:val="00E80F53"/>
    <w:rsid w:val="00E81873"/>
    <w:rsid w:val="00E81E29"/>
    <w:rsid w:val="00E82F11"/>
    <w:rsid w:val="00E845B8"/>
    <w:rsid w:val="00E85018"/>
    <w:rsid w:val="00E851C1"/>
    <w:rsid w:val="00E8576E"/>
    <w:rsid w:val="00E85BB5"/>
    <w:rsid w:val="00E9085F"/>
    <w:rsid w:val="00E90EB8"/>
    <w:rsid w:val="00E915DF"/>
    <w:rsid w:val="00E91AD0"/>
    <w:rsid w:val="00E92B33"/>
    <w:rsid w:val="00E9311B"/>
    <w:rsid w:val="00E93D61"/>
    <w:rsid w:val="00E9484E"/>
    <w:rsid w:val="00E94859"/>
    <w:rsid w:val="00E965EA"/>
    <w:rsid w:val="00E96AC7"/>
    <w:rsid w:val="00EA0B7C"/>
    <w:rsid w:val="00EA3360"/>
    <w:rsid w:val="00EA3821"/>
    <w:rsid w:val="00EA48F9"/>
    <w:rsid w:val="00EA4B9F"/>
    <w:rsid w:val="00EA50D4"/>
    <w:rsid w:val="00EA51A0"/>
    <w:rsid w:val="00EA55D4"/>
    <w:rsid w:val="00EA75FA"/>
    <w:rsid w:val="00EA7BC1"/>
    <w:rsid w:val="00EB3983"/>
    <w:rsid w:val="00EB3D28"/>
    <w:rsid w:val="00EB4267"/>
    <w:rsid w:val="00EB5135"/>
    <w:rsid w:val="00EB6310"/>
    <w:rsid w:val="00EB6C2F"/>
    <w:rsid w:val="00EB7536"/>
    <w:rsid w:val="00EC0AE9"/>
    <w:rsid w:val="00EC11BB"/>
    <w:rsid w:val="00EC2873"/>
    <w:rsid w:val="00EC294C"/>
    <w:rsid w:val="00EC4BF9"/>
    <w:rsid w:val="00EC4DB8"/>
    <w:rsid w:val="00EC530A"/>
    <w:rsid w:val="00EC5358"/>
    <w:rsid w:val="00EC57F2"/>
    <w:rsid w:val="00EC597E"/>
    <w:rsid w:val="00EC6C8C"/>
    <w:rsid w:val="00ED0340"/>
    <w:rsid w:val="00ED0791"/>
    <w:rsid w:val="00ED1CA5"/>
    <w:rsid w:val="00ED3993"/>
    <w:rsid w:val="00ED4B70"/>
    <w:rsid w:val="00ED5508"/>
    <w:rsid w:val="00ED5830"/>
    <w:rsid w:val="00ED66BA"/>
    <w:rsid w:val="00ED7AA7"/>
    <w:rsid w:val="00EE0AF1"/>
    <w:rsid w:val="00EE1135"/>
    <w:rsid w:val="00EE15E9"/>
    <w:rsid w:val="00EE21DB"/>
    <w:rsid w:val="00EE254E"/>
    <w:rsid w:val="00EE2880"/>
    <w:rsid w:val="00EE46AB"/>
    <w:rsid w:val="00EE4A96"/>
    <w:rsid w:val="00EE5C4E"/>
    <w:rsid w:val="00EE60F9"/>
    <w:rsid w:val="00EF1211"/>
    <w:rsid w:val="00EF2D9E"/>
    <w:rsid w:val="00EF3367"/>
    <w:rsid w:val="00EF34FC"/>
    <w:rsid w:val="00EF51F3"/>
    <w:rsid w:val="00F00503"/>
    <w:rsid w:val="00F02B3B"/>
    <w:rsid w:val="00F03180"/>
    <w:rsid w:val="00F03862"/>
    <w:rsid w:val="00F03C34"/>
    <w:rsid w:val="00F0465D"/>
    <w:rsid w:val="00F04916"/>
    <w:rsid w:val="00F05D71"/>
    <w:rsid w:val="00F070B4"/>
    <w:rsid w:val="00F0739F"/>
    <w:rsid w:val="00F10B53"/>
    <w:rsid w:val="00F10C4F"/>
    <w:rsid w:val="00F11B68"/>
    <w:rsid w:val="00F12AD8"/>
    <w:rsid w:val="00F12CBB"/>
    <w:rsid w:val="00F13326"/>
    <w:rsid w:val="00F133BC"/>
    <w:rsid w:val="00F1704B"/>
    <w:rsid w:val="00F17869"/>
    <w:rsid w:val="00F200EA"/>
    <w:rsid w:val="00F21F9E"/>
    <w:rsid w:val="00F22281"/>
    <w:rsid w:val="00F22AD9"/>
    <w:rsid w:val="00F2508B"/>
    <w:rsid w:val="00F2579E"/>
    <w:rsid w:val="00F265D1"/>
    <w:rsid w:val="00F26A27"/>
    <w:rsid w:val="00F26F53"/>
    <w:rsid w:val="00F309CB"/>
    <w:rsid w:val="00F334AB"/>
    <w:rsid w:val="00F3397A"/>
    <w:rsid w:val="00F35D08"/>
    <w:rsid w:val="00F360A2"/>
    <w:rsid w:val="00F362FA"/>
    <w:rsid w:val="00F365B2"/>
    <w:rsid w:val="00F36643"/>
    <w:rsid w:val="00F36C85"/>
    <w:rsid w:val="00F37CA6"/>
    <w:rsid w:val="00F42136"/>
    <w:rsid w:val="00F45124"/>
    <w:rsid w:val="00F4633C"/>
    <w:rsid w:val="00F4648E"/>
    <w:rsid w:val="00F46706"/>
    <w:rsid w:val="00F50B39"/>
    <w:rsid w:val="00F50CB6"/>
    <w:rsid w:val="00F51DEA"/>
    <w:rsid w:val="00F52E6B"/>
    <w:rsid w:val="00F565F5"/>
    <w:rsid w:val="00F57194"/>
    <w:rsid w:val="00F575FE"/>
    <w:rsid w:val="00F5761B"/>
    <w:rsid w:val="00F60AA6"/>
    <w:rsid w:val="00F61562"/>
    <w:rsid w:val="00F6408C"/>
    <w:rsid w:val="00F64847"/>
    <w:rsid w:val="00F64DB5"/>
    <w:rsid w:val="00F669EF"/>
    <w:rsid w:val="00F6766D"/>
    <w:rsid w:val="00F70982"/>
    <w:rsid w:val="00F7141F"/>
    <w:rsid w:val="00F7283D"/>
    <w:rsid w:val="00F728AC"/>
    <w:rsid w:val="00F729ED"/>
    <w:rsid w:val="00F72B27"/>
    <w:rsid w:val="00F7487B"/>
    <w:rsid w:val="00F77BF6"/>
    <w:rsid w:val="00F77F18"/>
    <w:rsid w:val="00F81A60"/>
    <w:rsid w:val="00F81A92"/>
    <w:rsid w:val="00F8248C"/>
    <w:rsid w:val="00F87101"/>
    <w:rsid w:val="00F91CAA"/>
    <w:rsid w:val="00F92E36"/>
    <w:rsid w:val="00F932F0"/>
    <w:rsid w:val="00F93425"/>
    <w:rsid w:val="00F94006"/>
    <w:rsid w:val="00F94554"/>
    <w:rsid w:val="00F94807"/>
    <w:rsid w:val="00F96D1A"/>
    <w:rsid w:val="00F9727B"/>
    <w:rsid w:val="00FA03BE"/>
    <w:rsid w:val="00FA128E"/>
    <w:rsid w:val="00FA1444"/>
    <w:rsid w:val="00FA150F"/>
    <w:rsid w:val="00FA193C"/>
    <w:rsid w:val="00FA36AA"/>
    <w:rsid w:val="00FA49E6"/>
    <w:rsid w:val="00FA4DB7"/>
    <w:rsid w:val="00FA6539"/>
    <w:rsid w:val="00FA674A"/>
    <w:rsid w:val="00FB0623"/>
    <w:rsid w:val="00FB1661"/>
    <w:rsid w:val="00FB21F0"/>
    <w:rsid w:val="00FB228D"/>
    <w:rsid w:val="00FB63F2"/>
    <w:rsid w:val="00FB7CD2"/>
    <w:rsid w:val="00FB7D26"/>
    <w:rsid w:val="00FC024D"/>
    <w:rsid w:val="00FC0F09"/>
    <w:rsid w:val="00FC16FD"/>
    <w:rsid w:val="00FC197A"/>
    <w:rsid w:val="00FC2E38"/>
    <w:rsid w:val="00FC2EEA"/>
    <w:rsid w:val="00FC41A4"/>
    <w:rsid w:val="00FC4FC1"/>
    <w:rsid w:val="00FC59E4"/>
    <w:rsid w:val="00FC6496"/>
    <w:rsid w:val="00FC700E"/>
    <w:rsid w:val="00FC72AB"/>
    <w:rsid w:val="00FD0C6C"/>
    <w:rsid w:val="00FD168A"/>
    <w:rsid w:val="00FD1AE7"/>
    <w:rsid w:val="00FD22C7"/>
    <w:rsid w:val="00FD2B1C"/>
    <w:rsid w:val="00FD3477"/>
    <w:rsid w:val="00FD3921"/>
    <w:rsid w:val="00FD57A1"/>
    <w:rsid w:val="00FD6086"/>
    <w:rsid w:val="00FD630A"/>
    <w:rsid w:val="00FD65B8"/>
    <w:rsid w:val="00FD7A59"/>
    <w:rsid w:val="00FE163A"/>
    <w:rsid w:val="00FE2CCF"/>
    <w:rsid w:val="00FE3955"/>
    <w:rsid w:val="00FE399B"/>
    <w:rsid w:val="00FE4906"/>
    <w:rsid w:val="00FE4979"/>
    <w:rsid w:val="00FE58F9"/>
    <w:rsid w:val="00FE5B7C"/>
    <w:rsid w:val="00FF1614"/>
    <w:rsid w:val="00FF22D6"/>
    <w:rsid w:val="00FF24B6"/>
    <w:rsid w:val="00FF533F"/>
    <w:rsid w:val="00FF53C1"/>
    <w:rsid w:val="00FF5C6D"/>
    <w:rsid w:val="00FF5DE1"/>
    <w:rsid w:val="00FF64F8"/>
    <w:rsid w:val="00FF725B"/>
    <w:rsid w:val="00FF7A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5D8F3F"/>
  <w15:docId w15:val="{E8E8463E-C056-45D7-B6EF-4DB50068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9D5"/>
    <w:rPr>
      <w:sz w:val="22"/>
      <w:szCs w:val="22"/>
      <w:lang w:val="es-CL" w:eastAsia="en-US"/>
    </w:rPr>
  </w:style>
  <w:style w:type="paragraph" w:styleId="Ttulo1">
    <w:name w:val="heading 1"/>
    <w:basedOn w:val="Normal"/>
    <w:next w:val="Normal"/>
    <w:link w:val="Ttulo1Car"/>
    <w:uiPriority w:val="9"/>
    <w:qFormat/>
    <w:rsid w:val="00A948E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8130B"/>
    <w:pPr>
      <w:keepNext/>
      <w:keepLines/>
      <w:spacing w:before="200" w:after="0"/>
      <w:outlineLvl w:val="1"/>
    </w:pPr>
    <w:rPr>
      <w:rFonts w:ascii="Cambria" w:eastAsia="Times New Roman" w:hAnsi="Cambria"/>
      <w:b/>
      <w:bCs/>
      <w:sz w:val="26"/>
      <w:szCs w:val="26"/>
      <w:lang w:val="es-ES"/>
    </w:rPr>
  </w:style>
  <w:style w:type="paragraph" w:styleId="Ttulo3">
    <w:name w:val="heading 3"/>
    <w:basedOn w:val="Normal"/>
    <w:next w:val="Normal"/>
    <w:link w:val="Ttulo3Car"/>
    <w:uiPriority w:val="9"/>
    <w:unhideWhenUsed/>
    <w:qFormat/>
    <w:rsid w:val="00983B7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1E6F"/>
    <w:rPr>
      <w:color w:val="0000FF"/>
      <w:u w:val="single"/>
    </w:rPr>
  </w:style>
  <w:style w:type="paragraph" w:styleId="Textodeglobo">
    <w:name w:val="Balloon Text"/>
    <w:basedOn w:val="Normal"/>
    <w:link w:val="TextodegloboCar"/>
    <w:uiPriority w:val="99"/>
    <w:semiHidden/>
    <w:unhideWhenUsed/>
    <w:rsid w:val="00A273B5"/>
    <w:pPr>
      <w:spacing w:after="0"/>
    </w:pPr>
    <w:rPr>
      <w:rFonts w:ascii="Tahoma" w:hAnsi="Tahoma" w:cs="Tahoma"/>
      <w:sz w:val="16"/>
      <w:szCs w:val="16"/>
    </w:rPr>
  </w:style>
  <w:style w:type="character" w:customStyle="1" w:styleId="TextodegloboCar">
    <w:name w:val="Texto de globo Car"/>
    <w:link w:val="Textodeglobo"/>
    <w:uiPriority w:val="99"/>
    <w:semiHidden/>
    <w:rsid w:val="00A273B5"/>
    <w:rPr>
      <w:rFonts w:ascii="Tahoma" w:hAnsi="Tahoma" w:cs="Tahoma"/>
      <w:sz w:val="16"/>
      <w:szCs w:val="16"/>
      <w:lang w:eastAsia="en-US"/>
    </w:rPr>
  </w:style>
  <w:style w:type="paragraph" w:styleId="Encabezado">
    <w:name w:val="header"/>
    <w:basedOn w:val="Normal"/>
    <w:link w:val="EncabezadoCar"/>
    <w:uiPriority w:val="99"/>
    <w:unhideWhenUsed/>
    <w:rsid w:val="00031B4B"/>
    <w:pPr>
      <w:tabs>
        <w:tab w:val="center" w:pos="4419"/>
        <w:tab w:val="right" w:pos="8838"/>
      </w:tabs>
    </w:pPr>
  </w:style>
  <w:style w:type="character" w:customStyle="1" w:styleId="EncabezadoCar">
    <w:name w:val="Encabezado Car"/>
    <w:link w:val="Encabezado"/>
    <w:uiPriority w:val="99"/>
    <w:rsid w:val="00031B4B"/>
    <w:rPr>
      <w:sz w:val="22"/>
      <w:szCs w:val="22"/>
      <w:lang w:eastAsia="en-US"/>
    </w:rPr>
  </w:style>
  <w:style w:type="paragraph" w:styleId="Piedepgina">
    <w:name w:val="footer"/>
    <w:basedOn w:val="Normal"/>
    <w:link w:val="PiedepginaCar"/>
    <w:uiPriority w:val="99"/>
    <w:unhideWhenUsed/>
    <w:rsid w:val="00031B4B"/>
    <w:pPr>
      <w:tabs>
        <w:tab w:val="center" w:pos="4419"/>
        <w:tab w:val="right" w:pos="8838"/>
      </w:tabs>
    </w:pPr>
  </w:style>
  <w:style w:type="character" w:customStyle="1" w:styleId="PiedepginaCar">
    <w:name w:val="Pie de página Car"/>
    <w:link w:val="Piedepgina"/>
    <w:uiPriority w:val="99"/>
    <w:rsid w:val="00031B4B"/>
    <w:rPr>
      <w:sz w:val="22"/>
      <w:szCs w:val="22"/>
      <w:lang w:eastAsia="en-US"/>
    </w:rPr>
  </w:style>
  <w:style w:type="paragraph" w:styleId="Prrafodelista">
    <w:name w:val="List Paragraph"/>
    <w:aliases w:val="Viñeta"/>
    <w:basedOn w:val="Normal"/>
    <w:link w:val="PrrafodelistaCar"/>
    <w:uiPriority w:val="34"/>
    <w:qFormat/>
    <w:rsid w:val="00031B4B"/>
    <w:pPr>
      <w:ind w:left="708"/>
    </w:pPr>
  </w:style>
  <w:style w:type="table" w:styleId="Tablaconcuadrcula">
    <w:name w:val="Table Grid"/>
    <w:basedOn w:val="Tablanormal"/>
    <w:uiPriority w:val="39"/>
    <w:rsid w:val="00961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3436"/>
    <w:pPr>
      <w:spacing w:before="100" w:beforeAutospacing="1" w:after="100" w:afterAutospacing="1"/>
    </w:pPr>
    <w:rPr>
      <w:rFonts w:ascii="Times New Roman" w:eastAsia="Times New Roman" w:hAnsi="Times New Roman"/>
      <w:sz w:val="24"/>
      <w:szCs w:val="24"/>
      <w:lang w:val="es-ES" w:eastAsia="es-ES"/>
    </w:rPr>
  </w:style>
  <w:style w:type="table" w:customStyle="1" w:styleId="Sombreadoclaro-nfasis11">
    <w:name w:val="Sombreado claro - Énfasis 11"/>
    <w:basedOn w:val="Tablanormal"/>
    <w:uiPriority w:val="60"/>
    <w:rsid w:val="000D0D0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uiPriority w:val="60"/>
    <w:rsid w:val="000D0D0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notapie">
    <w:name w:val="footnote text"/>
    <w:basedOn w:val="Normal"/>
    <w:link w:val="TextonotapieCar"/>
    <w:uiPriority w:val="99"/>
    <w:semiHidden/>
    <w:unhideWhenUsed/>
    <w:rsid w:val="003C07E9"/>
    <w:pPr>
      <w:spacing w:after="0"/>
    </w:pPr>
    <w:rPr>
      <w:sz w:val="20"/>
      <w:szCs w:val="20"/>
    </w:rPr>
  </w:style>
  <w:style w:type="character" w:customStyle="1" w:styleId="TextonotapieCar">
    <w:name w:val="Texto nota pie Car"/>
    <w:basedOn w:val="Fuentedeprrafopredeter"/>
    <w:link w:val="Textonotapie"/>
    <w:uiPriority w:val="99"/>
    <w:semiHidden/>
    <w:rsid w:val="003C07E9"/>
    <w:rPr>
      <w:lang w:val="es-CL" w:eastAsia="en-US"/>
    </w:rPr>
  </w:style>
  <w:style w:type="character" w:styleId="Refdenotaalpie">
    <w:name w:val="footnote reference"/>
    <w:basedOn w:val="Fuentedeprrafopredeter"/>
    <w:uiPriority w:val="99"/>
    <w:semiHidden/>
    <w:unhideWhenUsed/>
    <w:rsid w:val="003C07E9"/>
    <w:rPr>
      <w:vertAlign w:val="superscript"/>
    </w:rPr>
  </w:style>
  <w:style w:type="character" w:customStyle="1" w:styleId="PrrafodelistaCar">
    <w:name w:val="Párrafo de lista Car"/>
    <w:aliases w:val="Viñeta Car"/>
    <w:link w:val="Prrafodelista"/>
    <w:uiPriority w:val="34"/>
    <w:locked/>
    <w:rsid w:val="00465782"/>
    <w:rPr>
      <w:sz w:val="22"/>
      <w:szCs w:val="22"/>
      <w:lang w:val="es-CL" w:eastAsia="en-US"/>
    </w:rPr>
  </w:style>
  <w:style w:type="character" w:customStyle="1" w:styleId="st">
    <w:name w:val="st"/>
    <w:basedOn w:val="Fuentedeprrafopredeter"/>
    <w:rsid w:val="003E463D"/>
  </w:style>
  <w:style w:type="paragraph" w:styleId="Descripcin">
    <w:name w:val="caption"/>
    <w:basedOn w:val="Normal"/>
    <w:next w:val="Normal"/>
    <w:uiPriority w:val="35"/>
    <w:unhideWhenUsed/>
    <w:qFormat/>
    <w:rsid w:val="005A5B7C"/>
    <w:rPr>
      <w:b/>
      <w:bCs/>
      <w:color w:val="4F81BD" w:themeColor="accent1"/>
      <w:sz w:val="18"/>
      <w:szCs w:val="18"/>
    </w:rPr>
  </w:style>
  <w:style w:type="paragraph" w:styleId="Sinespaciado">
    <w:name w:val="No Spacing"/>
    <w:uiPriority w:val="1"/>
    <w:qFormat/>
    <w:rsid w:val="00052B09"/>
    <w:rPr>
      <w:rFonts w:ascii="Times New Roman" w:eastAsia="Times New Roman" w:hAnsi="Times New Roman"/>
      <w:sz w:val="24"/>
      <w:szCs w:val="24"/>
    </w:rPr>
  </w:style>
  <w:style w:type="character" w:customStyle="1" w:styleId="Ttulo2Car">
    <w:name w:val="Título 2 Car"/>
    <w:basedOn w:val="Fuentedeprrafopredeter"/>
    <w:link w:val="Ttulo2"/>
    <w:uiPriority w:val="9"/>
    <w:rsid w:val="00B8130B"/>
    <w:rPr>
      <w:rFonts w:ascii="Cambria" w:eastAsia="Times New Roman" w:hAnsi="Cambria"/>
      <w:b/>
      <w:bCs/>
      <w:sz w:val="26"/>
      <w:szCs w:val="26"/>
      <w:lang w:eastAsia="en-US"/>
    </w:rPr>
  </w:style>
  <w:style w:type="character" w:styleId="Refdecomentario">
    <w:name w:val="annotation reference"/>
    <w:uiPriority w:val="99"/>
    <w:rsid w:val="005B2C63"/>
    <w:rPr>
      <w:sz w:val="16"/>
      <w:szCs w:val="16"/>
    </w:rPr>
  </w:style>
  <w:style w:type="paragraph" w:styleId="Textocomentario">
    <w:name w:val="annotation text"/>
    <w:basedOn w:val="Normal"/>
    <w:link w:val="TextocomentarioCar"/>
    <w:uiPriority w:val="99"/>
    <w:rsid w:val="005B2C63"/>
    <w:pPr>
      <w:spacing w:after="0"/>
    </w:pPr>
    <w:rPr>
      <w:rFonts w:ascii="Cambria" w:eastAsia="Cambria" w:hAnsi="Cambria"/>
      <w:sz w:val="20"/>
      <w:szCs w:val="20"/>
      <w:lang w:val="en-US"/>
    </w:rPr>
  </w:style>
  <w:style w:type="character" w:customStyle="1" w:styleId="TextocomentarioCar">
    <w:name w:val="Texto comentario Car"/>
    <w:basedOn w:val="Fuentedeprrafopredeter"/>
    <w:link w:val="Textocomentario"/>
    <w:uiPriority w:val="99"/>
    <w:rsid w:val="005B2C63"/>
    <w:rPr>
      <w:rFonts w:ascii="Cambria" w:eastAsia="Cambria" w:hAnsi="Cambria"/>
      <w:lang w:val="en-US" w:eastAsia="en-US"/>
    </w:rPr>
  </w:style>
  <w:style w:type="paragraph" w:styleId="Asuntodelcomentario">
    <w:name w:val="annotation subject"/>
    <w:basedOn w:val="Textocomentario"/>
    <w:next w:val="Textocomentario"/>
    <w:link w:val="AsuntodelcomentarioCar"/>
    <w:uiPriority w:val="99"/>
    <w:semiHidden/>
    <w:unhideWhenUsed/>
    <w:rsid w:val="008C6FF9"/>
    <w:pPr>
      <w:spacing w:after="200"/>
    </w:pPr>
    <w:rPr>
      <w:rFonts w:ascii="Calibri" w:eastAsia="Calibri" w:hAnsi="Calibri"/>
      <w:b/>
      <w:bCs/>
      <w:lang w:val="es-CL"/>
    </w:rPr>
  </w:style>
  <w:style w:type="character" w:customStyle="1" w:styleId="AsuntodelcomentarioCar">
    <w:name w:val="Asunto del comentario Car"/>
    <w:basedOn w:val="TextocomentarioCar"/>
    <w:link w:val="Asuntodelcomentario"/>
    <w:uiPriority w:val="99"/>
    <w:semiHidden/>
    <w:rsid w:val="008C6FF9"/>
    <w:rPr>
      <w:rFonts w:ascii="Cambria" w:eastAsia="Cambria" w:hAnsi="Cambria"/>
      <w:b/>
      <w:bCs/>
      <w:lang w:val="es-CL" w:eastAsia="en-US"/>
    </w:rPr>
  </w:style>
  <w:style w:type="paragraph" w:styleId="Revisin">
    <w:name w:val="Revision"/>
    <w:hidden/>
    <w:uiPriority w:val="99"/>
    <w:semiHidden/>
    <w:rsid w:val="0027478A"/>
    <w:rPr>
      <w:sz w:val="22"/>
      <w:szCs w:val="22"/>
      <w:lang w:val="es-CL" w:eastAsia="en-US"/>
    </w:rPr>
  </w:style>
  <w:style w:type="character" w:customStyle="1" w:styleId="Ttulo1Car">
    <w:name w:val="Título 1 Car"/>
    <w:basedOn w:val="Fuentedeprrafopredeter"/>
    <w:link w:val="Ttulo1"/>
    <w:uiPriority w:val="9"/>
    <w:rsid w:val="00A948EF"/>
    <w:rPr>
      <w:rFonts w:asciiTheme="majorHAnsi" w:eastAsiaTheme="majorEastAsia" w:hAnsiTheme="majorHAnsi" w:cstheme="majorBidi"/>
      <w:color w:val="365F91" w:themeColor="accent1" w:themeShade="BF"/>
      <w:sz w:val="32"/>
      <w:szCs w:val="32"/>
      <w:lang w:val="es-CL" w:eastAsia="en-US"/>
    </w:rPr>
  </w:style>
  <w:style w:type="character" w:customStyle="1" w:styleId="cf01">
    <w:name w:val="cf01"/>
    <w:basedOn w:val="Fuentedeprrafopredeter"/>
    <w:rsid w:val="00A33175"/>
    <w:rPr>
      <w:rFonts w:ascii="Segoe UI" w:hAnsi="Segoe UI" w:cs="Segoe UI" w:hint="default"/>
      <w:sz w:val="18"/>
      <w:szCs w:val="18"/>
    </w:rPr>
  </w:style>
  <w:style w:type="table" w:customStyle="1" w:styleId="Tablaconcuadrculaclara1">
    <w:name w:val="Tabla con cuadrícula clara1"/>
    <w:basedOn w:val="Tablanormal"/>
    <w:uiPriority w:val="40"/>
    <w:rsid w:val="004215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Fuentedeprrafopredeter"/>
    <w:uiPriority w:val="99"/>
    <w:semiHidden/>
    <w:unhideWhenUsed/>
    <w:rsid w:val="005D423B"/>
    <w:rPr>
      <w:color w:val="605E5C"/>
      <w:shd w:val="clear" w:color="auto" w:fill="E1DFDD"/>
    </w:rPr>
  </w:style>
  <w:style w:type="table" w:customStyle="1" w:styleId="Tablanormal11">
    <w:name w:val="Tabla normal 11"/>
    <w:basedOn w:val="Tablanormal"/>
    <w:uiPriority w:val="41"/>
    <w:rsid w:val="008161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81616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clara1">
    <w:name w:val="Tabla con cuadrícula 1 clara1"/>
    <w:basedOn w:val="Tablanormal"/>
    <w:uiPriority w:val="46"/>
    <w:rsid w:val="008161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81616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tuloTDC">
    <w:name w:val="TOC Heading"/>
    <w:basedOn w:val="Ttulo1"/>
    <w:next w:val="Normal"/>
    <w:uiPriority w:val="39"/>
    <w:unhideWhenUsed/>
    <w:qFormat/>
    <w:rsid w:val="00BF4DA5"/>
    <w:pPr>
      <w:spacing w:line="259" w:lineRule="auto"/>
      <w:outlineLvl w:val="9"/>
    </w:pPr>
    <w:rPr>
      <w:lang w:eastAsia="es-CL"/>
    </w:rPr>
  </w:style>
  <w:style w:type="paragraph" w:styleId="TDC2">
    <w:name w:val="toc 2"/>
    <w:basedOn w:val="Normal"/>
    <w:next w:val="Normal"/>
    <w:autoRedefine/>
    <w:uiPriority w:val="39"/>
    <w:unhideWhenUsed/>
    <w:rsid w:val="00BF4DA5"/>
    <w:pPr>
      <w:spacing w:after="100" w:line="259" w:lineRule="auto"/>
      <w:ind w:left="220"/>
    </w:pPr>
    <w:rPr>
      <w:rFonts w:asciiTheme="minorHAnsi" w:eastAsiaTheme="minorEastAsia" w:hAnsiTheme="minorHAnsi"/>
      <w:lang w:eastAsia="es-CL"/>
    </w:rPr>
  </w:style>
  <w:style w:type="paragraph" w:styleId="TDC1">
    <w:name w:val="toc 1"/>
    <w:basedOn w:val="Normal"/>
    <w:next w:val="Normal"/>
    <w:autoRedefine/>
    <w:uiPriority w:val="39"/>
    <w:unhideWhenUsed/>
    <w:rsid w:val="00D84BE0"/>
    <w:pPr>
      <w:tabs>
        <w:tab w:val="left" w:pos="440"/>
        <w:tab w:val="right" w:leader="dot" w:pos="10070"/>
      </w:tabs>
      <w:spacing w:after="100" w:line="259" w:lineRule="auto"/>
    </w:pPr>
    <w:rPr>
      <w:rFonts w:asciiTheme="minorHAnsi" w:eastAsiaTheme="minorEastAsia" w:hAnsiTheme="minorHAnsi"/>
      <w:lang w:eastAsia="es-CL"/>
    </w:rPr>
  </w:style>
  <w:style w:type="paragraph" w:styleId="TDC3">
    <w:name w:val="toc 3"/>
    <w:basedOn w:val="Normal"/>
    <w:next w:val="Normal"/>
    <w:autoRedefine/>
    <w:uiPriority w:val="39"/>
    <w:unhideWhenUsed/>
    <w:rsid w:val="00BF4DA5"/>
    <w:pPr>
      <w:spacing w:after="100" w:line="259" w:lineRule="auto"/>
      <w:ind w:left="440"/>
    </w:pPr>
    <w:rPr>
      <w:rFonts w:asciiTheme="minorHAnsi" w:eastAsiaTheme="minorEastAsia" w:hAnsiTheme="minorHAnsi"/>
      <w:lang w:eastAsia="es-CL"/>
    </w:rPr>
  </w:style>
  <w:style w:type="paragraph" w:styleId="Textonotaalfinal">
    <w:name w:val="endnote text"/>
    <w:basedOn w:val="Normal"/>
    <w:link w:val="TextonotaalfinalCar"/>
    <w:uiPriority w:val="99"/>
    <w:unhideWhenUsed/>
    <w:rsid w:val="00717EFC"/>
    <w:pPr>
      <w:spacing w:after="0"/>
    </w:pPr>
    <w:rPr>
      <w:sz w:val="20"/>
      <w:szCs w:val="20"/>
    </w:rPr>
  </w:style>
  <w:style w:type="character" w:customStyle="1" w:styleId="TextonotaalfinalCar">
    <w:name w:val="Texto nota al final Car"/>
    <w:basedOn w:val="Fuentedeprrafopredeter"/>
    <w:link w:val="Textonotaalfinal"/>
    <w:uiPriority w:val="99"/>
    <w:rsid w:val="00717EFC"/>
    <w:rPr>
      <w:lang w:val="es-CL" w:eastAsia="en-US"/>
    </w:rPr>
  </w:style>
  <w:style w:type="character" w:styleId="Refdenotaalfinal">
    <w:name w:val="endnote reference"/>
    <w:basedOn w:val="Fuentedeprrafopredeter"/>
    <w:uiPriority w:val="99"/>
    <w:semiHidden/>
    <w:unhideWhenUsed/>
    <w:rsid w:val="00717EFC"/>
    <w:rPr>
      <w:vertAlign w:val="superscript"/>
    </w:rPr>
  </w:style>
  <w:style w:type="character" w:styleId="Hipervnculovisitado">
    <w:name w:val="FollowedHyperlink"/>
    <w:basedOn w:val="Fuentedeprrafopredeter"/>
    <w:uiPriority w:val="99"/>
    <w:semiHidden/>
    <w:unhideWhenUsed/>
    <w:rsid w:val="00717EFC"/>
    <w:rPr>
      <w:color w:val="800080" w:themeColor="followedHyperlink"/>
      <w:u w:val="single"/>
    </w:rPr>
  </w:style>
  <w:style w:type="character" w:customStyle="1" w:styleId="Mencinsinresolver2">
    <w:name w:val="Mención sin resolver2"/>
    <w:basedOn w:val="Fuentedeprrafopredeter"/>
    <w:uiPriority w:val="99"/>
    <w:semiHidden/>
    <w:unhideWhenUsed/>
    <w:rsid w:val="00717EFC"/>
    <w:rPr>
      <w:color w:val="605E5C"/>
      <w:shd w:val="clear" w:color="auto" w:fill="E1DFDD"/>
    </w:rPr>
  </w:style>
  <w:style w:type="character" w:customStyle="1" w:styleId="Ttulo3Car">
    <w:name w:val="Título 3 Car"/>
    <w:basedOn w:val="Fuentedeprrafopredeter"/>
    <w:link w:val="Ttulo3"/>
    <w:uiPriority w:val="9"/>
    <w:rsid w:val="00983B70"/>
    <w:rPr>
      <w:rFonts w:asciiTheme="majorHAnsi" w:eastAsiaTheme="majorEastAsia" w:hAnsiTheme="majorHAnsi" w:cstheme="majorBidi"/>
      <w:color w:val="243F60" w:themeColor="accent1" w:themeShade="7F"/>
      <w:sz w:val="24"/>
      <w:szCs w:val="24"/>
      <w:lang w:val="es-CL" w:eastAsia="en-US"/>
    </w:rPr>
  </w:style>
  <w:style w:type="paragraph" w:customStyle="1" w:styleId="msonormal0">
    <w:name w:val="msonormal"/>
    <w:basedOn w:val="Normal"/>
    <w:rsid w:val="00E34925"/>
    <w:pPr>
      <w:spacing w:before="100" w:beforeAutospacing="1" w:after="100" w:afterAutospacing="1"/>
    </w:pPr>
    <w:rPr>
      <w:rFonts w:ascii="Times New Roman" w:eastAsia="Times New Roman" w:hAnsi="Times New Roman"/>
      <w:sz w:val="24"/>
      <w:szCs w:val="24"/>
      <w:lang w:eastAsia="es-CL"/>
    </w:rPr>
  </w:style>
  <w:style w:type="paragraph" w:customStyle="1" w:styleId="xl64">
    <w:name w:val="xl64"/>
    <w:basedOn w:val="Normal"/>
    <w:rsid w:val="00E34925"/>
    <w:pPr>
      <w:pBdr>
        <w:bottom w:val="single" w:sz="8" w:space="0" w:color="auto"/>
        <w:right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65">
    <w:name w:val="xl65"/>
    <w:basedOn w:val="Normal"/>
    <w:rsid w:val="00E34925"/>
    <w:pPr>
      <w:pBdr>
        <w:bottom w:val="single" w:sz="8" w:space="0" w:color="auto"/>
        <w:right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66">
    <w:name w:val="xl66"/>
    <w:basedOn w:val="Normal"/>
    <w:rsid w:val="00E34925"/>
    <w:pPr>
      <w:pBdr>
        <w:left w:val="single" w:sz="8" w:space="0" w:color="auto"/>
        <w:bottom w:val="single" w:sz="8" w:space="0" w:color="auto"/>
        <w:right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67">
    <w:name w:val="xl67"/>
    <w:basedOn w:val="Normal"/>
    <w:rsid w:val="00E34925"/>
    <w:pPr>
      <w:pBdr>
        <w:bottom w:val="single" w:sz="8" w:space="0" w:color="auto"/>
        <w:right w:val="single" w:sz="8" w:space="0" w:color="auto"/>
      </w:pBdr>
      <w:spacing w:before="100" w:beforeAutospacing="1" w:after="100" w:afterAutospacing="1"/>
      <w:jc w:val="center"/>
      <w:textAlignment w:val="center"/>
    </w:pPr>
    <w:rPr>
      <w:rFonts w:ascii="gobCL" w:eastAsia="Times New Roman" w:hAnsi="gobCL"/>
      <w:sz w:val="16"/>
      <w:szCs w:val="16"/>
      <w:lang w:eastAsia="es-CL"/>
    </w:rPr>
  </w:style>
  <w:style w:type="paragraph" w:customStyle="1" w:styleId="xl68">
    <w:name w:val="xl68"/>
    <w:basedOn w:val="Normal"/>
    <w:rsid w:val="00E34925"/>
    <w:pPr>
      <w:pBdr>
        <w:bottom w:val="single" w:sz="8" w:space="0" w:color="auto"/>
        <w:right w:val="single" w:sz="8" w:space="0" w:color="auto"/>
      </w:pBdr>
      <w:spacing w:before="100" w:beforeAutospacing="1" w:after="100" w:afterAutospacing="1"/>
      <w:jc w:val="center"/>
      <w:textAlignment w:val="center"/>
    </w:pPr>
    <w:rPr>
      <w:rFonts w:ascii="gobCL" w:eastAsia="Times New Roman" w:hAnsi="gobCL"/>
      <w:sz w:val="16"/>
      <w:szCs w:val="16"/>
      <w:lang w:eastAsia="es-CL"/>
    </w:rPr>
  </w:style>
  <w:style w:type="paragraph" w:customStyle="1" w:styleId="xl69">
    <w:name w:val="xl69"/>
    <w:basedOn w:val="Normal"/>
    <w:rsid w:val="00E34925"/>
    <w:pPr>
      <w:pBdr>
        <w:bottom w:val="single" w:sz="8" w:space="0" w:color="auto"/>
        <w:right w:val="single" w:sz="8" w:space="0" w:color="auto"/>
      </w:pBdr>
      <w:spacing w:before="100" w:beforeAutospacing="1" w:after="100" w:afterAutospacing="1"/>
      <w:textAlignment w:val="center"/>
    </w:pPr>
    <w:rPr>
      <w:rFonts w:ascii="gobCL" w:eastAsia="Times New Roman" w:hAnsi="gobCL"/>
      <w:sz w:val="16"/>
      <w:szCs w:val="16"/>
      <w:lang w:eastAsia="es-CL"/>
    </w:rPr>
  </w:style>
  <w:style w:type="paragraph" w:customStyle="1" w:styleId="xl70">
    <w:name w:val="xl70"/>
    <w:basedOn w:val="Normal"/>
    <w:rsid w:val="00E3492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gobCL" w:eastAsia="Times New Roman" w:hAnsi="gobCL"/>
      <w:sz w:val="16"/>
      <w:szCs w:val="16"/>
      <w:lang w:eastAsia="es-CL"/>
    </w:rPr>
  </w:style>
  <w:style w:type="paragraph" w:customStyle="1" w:styleId="xl71">
    <w:name w:val="xl71"/>
    <w:basedOn w:val="Normal"/>
    <w:rsid w:val="00E3492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72">
    <w:name w:val="xl72"/>
    <w:basedOn w:val="Normal"/>
    <w:rsid w:val="00E3492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gobCL" w:eastAsia="Times New Roman" w:hAnsi="gobCL"/>
      <w:sz w:val="16"/>
      <w:szCs w:val="16"/>
      <w:lang w:eastAsia="es-CL"/>
    </w:rPr>
  </w:style>
  <w:style w:type="paragraph" w:customStyle="1" w:styleId="xl73">
    <w:name w:val="xl73"/>
    <w:basedOn w:val="Normal"/>
    <w:rsid w:val="00E34925"/>
    <w:pPr>
      <w:pBdr>
        <w:top w:val="single" w:sz="8" w:space="0" w:color="auto"/>
        <w:left w:val="single" w:sz="8" w:space="0" w:color="auto"/>
        <w:right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74">
    <w:name w:val="xl74"/>
    <w:basedOn w:val="Normal"/>
    <w:rsid w:val="00E34925"/>
    <w:pPr>
      <w:pBdr>
        <w:left w:val="single" w:sz="8" w:space="0" w:color="auto"/>
        <w:right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75">
    <w:name w:val="xl75"/>
    <w:basedOn w:val="Normal"/>
    <w:rsid w:val="00E34925"/>
    <w:pPr>
      <w:pBdr>
        <w:top w:val="single" w:sz="8" w:space="0" w:color="auto"/>
        <w:left w:val="single" w:sz="8" w:space="0" w:color="auto"/>
        <w:right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76">
    <w:name w:val="xl76"/>
    <w:basedOn w:val="Normal"/>
    <w:rsid w:val="00E34925"/>
    <w:pPr>
      <w:pBdr>
        <w:left w:val="single" w:sz="8" w:space="0" w:color="auto"/>
        <w:bottom w:val="single" w:sz="8" w:space="0" w:color="auto"/>
        <w:right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77">
    <w:name w:val="xl77"/>
    <w:basedOn w:val="Normal"/>
    <w:rsid w:val="00E34925"/>
    <w:pPr>
      <w:pBdr>
        <w:top w:val="single" w:sz="8" w:space="0" w:color="auto"/>
        <w:left w:val="single" w:sz="8" w:space="0" w:color="auto"/>
        <w:bottom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78">
    <w:name w:val="xl78"/>
    <w:basedOn w:val="Normal"/>
    <w:rsid w:val="00E34925"/>
    <w:pPr>
      <w:pBdr>
        <w:top w:val="single" w:sz="8" w:space="0" w:color="auto"/>
        <w:bottom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79">
    <w:name w:val="xl79"/>
    <w:basedOn w:val="Normal"/>
    <w:rsid w:val="00E34925"/>
    <w:pPr>
      <w:pBdr>
        <w:top w:val="single" w:sz="8" w:space="0" w:color="auto"/>
        <w:bottom w:val="single" w:sz="8" w:space="0" w:color="auto"/>
        <w:right w:val="single" w:sz="8" w:space="0" w:color="auto"/>
      </w:pBdr>
      <w:spacing w:before="100" w:beforeAutospacing="1" w:after="100" w:afterAutospacing="1"/>
      <w:jc w:val="center"/>
      <w:textAlignment w:val="center"/>
    </w:pPr>
    <w:rPr>
      <w:rFonts w:ascii="gobCL" w:eastAsia="Times New Roman" w:hAnsi="gobCL"/>
      <w:b/>
      <w:bCs/>
      <w:sz w:val="16"/>
      <w:szCs w:val="16"/>
      <w:lang w:eastAsia="es-CL"/>
    </w:rPr>
  </w:style>
  <w:style w:type="paragraph" w:customStyle="1" w:styleId="xl80">
    <w:name w:val="xl80"/>
    <w:basedOn w:val="Normal"/>
    <w:rsid w:val="00E34925"/>
    <w:pPr>
      <w:pBdr>
        <w:top w:val="single" w:sz="8" w:space="0" w:color="auto"/>
        <w:left w:val="single" w:sz="8" w:space="0" w:color="auto"/>
        <w:right w:val="single" w:sz="8" w:space="0" w:color="auto"/>
      </w:pBdr>
      <w:spacing w:before="100" w:beforeAutospacing="1" w:after="100" w:afterAutospacing="1"/>
      <w:textAlignment w:val="center"/>
    </w:pPr>
    <w:rPr>
      <w:rFonts w:ascii="gobCL" w:eastAsia="Times New Roman" w:hAnsi="gobCL"/>
      <w:b/>
      <w:bCs/>
      <w:sz w:val="16"/>
      <w:szCs w:val="16"/>
      <w:lang w:eastAsia="es-CL"/>
    </w:rPr>
  </w:style>
  <w:style w:type="paragraph" w:customStyle="1" w:styleId="xl81">
    <w:name w:val="xl81"/>
    <w:basedOn w:val="Normal"/>
    <w:rsid w:val="00E34925"/>
    <w:pPr>
      <w:pBdr>
        <w:left w:val="single" w:sz="8" w:space="0" w:color="auto"/>
        <w:bottom w:val="single" w:sz="8" w:space="0" w:color="auto"/>
        <w:right w:val="single" w:sz="8" w:space="0" w:color="auto"/>
      </w:pBdr>
      <w:spacing w:before="100" w:beforeAutospacing="1" w:after="100" w:afterAutospacing="1"/>
      <w:textAlignment w:val="center"/>
    </w:pPr>
    <w:rPr>
      <w:rFonts w:ascii="gobCL" w:eastAsia="Times New Roman" w:hAnsi="gobCL"/>
      <w:b/>
      <w:bCs/>
      <w:sz w:val="16"/>
      <w:szCs w:val="16"/>
      <w:lang w:eastAsia="es-CL"/>
    </w:rPr>
  </w:style>
  <w:style w:type="paragraph" w:customStyle="1" w:styleId="xl82">
    <w:name w:val="xl82"/>
    <w:basedOn w:val="Normal"/>
    <w:rsid w:val="00E34925"/>
    <w:pPr>
      <w:pBdr>
        <w:top w:val="single" w:sz="8" w:space="0" w:color="auto"/>
        <w:left w:val="single" w:sz="8" w:space="0" w:color="auto"/>
        <w:right w:val="single" w:sz="8" w:space="0" w:color="auto"/>
      </w:pBdr>
      <w:spacing w:before="100" w:beforeAutospacing="1" w:after="100" w:afterAutospacing="1"/>
      <w:textAlignment w:val="center"/>
    </w:pPr>
    <w:rPr>
      <w:rFonts w:ascii="gobCL" w:eastAsia="Times New Roman" w:hAnsi="gobCL"/>
      <w:b/>
      <w:bCs/>
      <w:sz w:val="16"/>
      <w:szCs w:val="16"/>
      <w:lang w:eastAsia="es-CL"/>
    </w:rPr>
  </w:style>
  <w:style w:type="paragraph" w:customStyle="1" w:styleId="xl83">
    <w:name w:val="xl83"/>
    <w:basedOn w:val="Normal"/>
    <w:rsid w:val="00E34925"/>
    <w:pPr>
      <w:pBdr>
        <w:left w:val="single" w:sz="8" w:space="0" w:color="auto"/>
        <w:right w:val="single" w:sz="8" w:space="0" w:color="auto"/>
      </w:pBdr>
      <w:spacing w:before="100" w:beforeAutospacing="1" w:after="100" w:afterAutospacing="1"/>
      <w:textAlignment w:val="center"/>
    </w:pPr>
    <w:rPr>
      <w:rFonts w:ascii="gobCL" w:eastAsia="Times New Roman" w:hAnsi="gobCL"/>
      <w:b/>
      <w:bCs/>
      <w:sz w:val="16"/>
      <w:szCs w:val="16"/>
      <w:lang w:eastAsia="es-CL"/>
    </w:rPr>
  </w:style>
  <w:style w:type="paragraph" w:customStyle="1" w:styleId="xl84">
    <w:name w:val="xl84"/>
    <w:basedOn w:val="Normal"/>
    <w:rsid w:val="00E34925"/>
    <w:pPr>
      <w:pBdr>
        <w:left w:val="single" w:sz="8" w:space="0" w:color="auto"/>
        <w:bottom w:val="single" w:sz="8" w:space="0" w:color="auto"/>
        <w:right w:val="single" w:sz="8" w:space="0" w:color="auto"/>
      </w:pBdr>
      <w:spacing w:before="100" w:beforeAutospacing="1" w:after="100" w:afterAutospacing="1"/>
      <w:textAlignment w:val="center"/>
    </w:pPr>
    <w:rPr>
      <w:rFonts w:ascii="gobCL" w:eastAsia="Times New Roman" w:hAnsi="gobCL"/>
      <w:b/>
      <w:bCs/>
      <w:sz w:val="16"/>
      <w:szCs w:val="16"/>
      <w:lang w:eastAsia="es-CL"/>
    </w:rPr>
  </w:style>
  <w:style w:type="table" w:customStyle="1" w:styleId="Tablaconcuadrcula1">
    <w:name w:val="Tabla con cuadrícula1"/>
    <w:basedOn w:val="Tablanormal"/>
    <w:next w:val="Tablaconcuadrcula"/>
    <w:uiPriority w:val="39"/>
    <w:rsid w:val="00E34925"/>
    <w:pPr>
      <w:spacing w:after="0"/>
    </w:pPr>
    <w:rPr>
      <w:rFonts w:asciiTheme="minorHAnsi" w:eastAsiaTheme="minorHAnsi" w:hAnsiTheme="minorHAnsi" w:cstheme="minorBidi"/>
      <w:sz w:val="24"/>
      <w:szCs w:val="24"/>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E34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9804">
      <w:bodyDiv w:val="1"/>
      <w:marLeft w:val="0"/>
      <w:marRight w:val="0"/>
      <w:marTop w:val="0"/>
      <w:marBottom w:val="0"/>
      <w:divBdr>
        <w:top w:val="none" w:sz="0" w:space="0" w:color="auto"/>
        <w:left w:val="none" w:sz="0" w:space="0" w:color="auto"/>
        <w:bottom w:val="none" w:sz="0" w:space="0" w:color="auto"/>
        <w:right w:val="none" w:sz="0" w:space="0" w:color="auto"/>
      </w:divBdr>
    </w:div>
    <w:div w:id="52126598">
      <w:bodyDiv w:val="1"/>
      <w:marLeft w:val="0"/>
      <w:marRight w:val="0"/>
      <w:marTop w:val="0"/>
      <w:marBottom w:val="0"/>
      <w:divBdr>
        <w:top w:val="none" w:sz="0" w:space="0" w:color="auto"/>
        <w:left w:val="none" w:sz="0" w:space="0" w:color="auto"/>
        <w:bottom w:val="none" w:sz="0" w:space="0" w:color="auto"/>
        <w:right w:val="none" w:sz="0" w:space="0" w:color="auto"/>
      </w:divBdr>
    </w:div>
    <w:div w:id="77943084">
      <w:bodyDiv w:val="1"/>
      <w:marLeft w:val="0"/>
      <w:marRight w:val="0"/>
      <w:marTop w:val="0"/>
      <w:marBottom w:val="0"/>
      <w:divBdr>
        <w:top w:val="none" w:sz="0" w:space="0" w:color="auto"/>
        <w:left w:val="none" w:sz="0" w:space="0" w:color="auto"/>
        <w:bottom w:val="none" w:sz="0" w:space="0" w:color="auto"/>
        <w:right w:val="none" w:sz="0" w:space="0" w:color="auto"/>
      </w:divBdr>
    </w:div>
    <w:div w:id="107431440">
      <w:bodyDiv w:val="1"/>
      <w:marLeft w:val="0"/>
      <w:marRight w:val="0"/>
      <w:marTop w:val="0"/>
      <w:marBottom w:val="0"/>
      <w:divBdr>
        <w:top w:val="none" w:sz="0" w:space="0" w:color="auto"/>
        <w:left w:val="none" w:sz="0" w:space="0" w:color="auto"/>
        <w:bottom w:val="none" w:sz="0" w:space="0" w:color="auto"/>
        <w:right w:val="none" w:sz="0" w:space="0" w:color="auto"/>
      </w:divBdr>
    </w:div>
    <w:div w:id="124743884">
      <w:bodyDiv w:val="1"/>
      <w:marLeft w:val="0"/>
      <w:marRight w:val="0"/>
      <w:marTop w:val="0"/>
      <w:marBottom w:val="0"/>
      <w:divBdr>
        <w:top w:val="none" w:sz="0" w:space="0" w:color="auto"/>
        <w:left w:val="none" w:sz="0" w:space="0" w:color="auto"/>
        <w:bottom w:val="none" w:sz="0" w:space="0" w:color="auto"/>
        <w:right w:val="none" w:sz="0" w:space="0" w:color="auto"/>
      </w:divBdr>
    </w:div>
    <w:div w:id="142813327">
      <w:bodyDiv w:val="1"/>
      <w:marLeft w:val="0"/>
      <w:marRight w:val="0"/>
      <w:marTop w:val="0"/>
      <w:marBottom w:val="0"/>
      <w:divBdr>
        <w:top w:val="none" w:sz="0" w:space="0" w:color="auto"/>
        <w:left w:val="none" w:sz="0" w:space="0" w:color="auto"/>
        <w:bottom w:val="none" w:sz="0" w:space="0" w:color="auto"/>
        <w:right w:val="none" w:sz="0" w:space="0" w:color="auto"/>
      </w:divBdr>
    </w:div>
    <w:div w:id="154347173">
      <w:bodyDiv w:val="1"/>
      <w:marLeft w:val="0"/>
      <w:marRight w:val="0"/>
      <w:marTop w:val="0"/>
      <w:marBottom w:val="0"/>
      <w:divBdr>
        <w:top w:val="none" w:sz="0" w:space="0" w:color="auto"/>
        <w:left w:val="none" w:sz="0" w:space="0" w:color="auto"/>
        <w:bottom w:val="none" w:sz="0" w:space="0" w:color="auto"/>
        <w:right w:val="none" w:sz="0" w:space="0" w:color="auto"/>
      </w:divBdr>
    </w:div>
    <w:div w:id="220750012">
      <w:bodyDiv w:val="1"/>
      <w:marLeft w:val="0"/>
      <w:marRight w:val="0"/>
      <w:marTop w:val="0"/>
      <w:marBottom w:val="0"/>
      <w:divBdr>
        <w:top w:val="none" w:sz="0" w:space="0" w:color="auto"/>
        <w:left w:val="none" w:sz="0" w:space="0" w:color="auto"/>
        <w:bottom w:val="none" w:sz="0" w:space="0" w:color="auto"/>
        <w:right w:val="none" w:sz="0" w:space="0" w:color="auto"/>
      </w:divBdr>
      <w:divsChild>
        <w:div w:id="2029063684">
          <w:marLeft w:val="446"/>
          <w:marRight w:val="0"/>
          <w:marTop w:val="0"/>
          <w:marBottom w:val="0"/>
          <w:divBdr>
            <w:top w:val="none" w:sz="0" w:space="0" w:color="auto"/>
            <w:left w:val="none" w:sz="0" w:space="0" w:color="auto"/>
            <w:bottom w:val="none" w:sz="0" w:space="0" w:color="auto"/>
            <w:right w:val="none" w:sz="0" w:space="0" w:color="auto"/>
          </w:divBdr>
        </w:div>
        <w:div w:id="1365402340">
          <w:marLeft w:val="446"/>
          <w:marRight w:val="0"/>
          <w:marTop w:val="0"/>
          <w:marBottom w:val="0"/>
          <w:divBdr>
            <w:top w:val="none" w:sz="0" w:space="0" w:color="auto"/>
            <w:left w:val="none" w:sz="0" w:space="0" w:color="auto"/>
            <w:bottom w:val="none" w:sz="0" w:space="0" w:color="auto"/>
            <w:right w:val="none" w:sz="0" w:space="0" w:color="auto"/>
          </w:divBdr>
        </w:div>
        <w:div w:id="704015378">
          <w:marLeft w:val="446"/>
          <w:marRight w:val="0"/>
          <w:marTop w:val="0"/>
          <w:marBottom w:val="0"/>
          <w:divBdr>
            <w:top w:val="none" w:sz="0" w:space="0" w:color="auto"/>
            <w:left w:val="none" w:sz="0" w:space="0" w:color="auto"/>
            <w:bottom w:val="none" w:sz="0" w:space="0" w:color="auto"/>
            <w:right w:val="none" w:sz="0" w:space="0" w:color="auto"/>
          </w:divBdr>
        </w:div>
      </w:divsChild>
    </w:div>
    <w:div w:id="233467245">
      <w:bodyDiv w:val="1"/>
      <w:marLeft w:val="0"/>
      <w:marRight w:val="0"/>
      <w:marTop w:val="0"/>
      <w:marBottom w:val="0"/>
      <w:divBdr>
        <w:top w:val="none" w:sz="0" w:space="0" w:color="auto"/>
        <w:left w:val="none" w:sz="0" w:space="0" w:color="auto"/>
        <w:bottom w:val="none" w:sz="0" w:space="0" w:color="auto"/>
        <w:right w:val="none" w:sz="0" w:space="0" w:color="auto"/>
      </w:divBdr>
      <w:divsChild>
        <w:div w:id="656961754">
          <w:marLeft w:val="1166"/>
          <w:marRight w:val="0"/>
          <w:marTop w:val="86"/>
          <w:marBottom w:val="0"/>
          <w:divBdr>
            <w:top w:val="none" w:sz="0" w:space="0" w:color="auto"/>
            <w:left w:val="none" w:sz="0" w:space="0" w:color="auto"/>
            <w:bottom w:val="none" w:sz="0" w:space="0" w:color="auto"/>
            <w:right w:val="none" w:sz="0" w:space="0" w:color="auto"/>
          </w:divBdr>
        </w:div>
      </w:divsChild>
    </w:div>
    <w:div w:id="234320308">
      <w:bodyDiv w:val="1"/>
      <w:marLeft w:val="0"/>
      <w:marRight w:val="0"/>
      <w:marTop w:val="0"/>
      <w:marBottom w:val="0"/>
      <w:divBdr>
        <w:top w:val="none" w:sz="0" w:space="0" w:color="auto"/>
        <w:left w:val="none" w:sz="0" w:space="0" w:color="auto"/>
        <w:bottom w:val="none" w:sz="0" w:space="0" w:color="auto"/>
        <w:right w:val="none" w:sz="0" w:space="0" w:color="auto"/>
      </w:divBdr>
    </w:div>
    <w:div w:id="237591121">
      <w:bodyDiv w:val="1"/>
      <w:marLeft w:val="0"/>
      <w:marRight w:val="0"/>
      <w:marTop w:val="0"/>
      <w:marBottom w:val="0"/>
      <w:divBdr>
        <w:top w:val="none" w:sz="0" w:space="0" w:color="auto"/>
        <w:left w:val="none" w:sz="0" w:space="0" w:color="auto"/>
        <w:bottom w:val="none" w:sz="0" w:space="0" w:color="auto"/>
        <w:right w:val="none" w:sz="0" w:space="0" w:color="auto"/>
      </w:divBdr>
    </w:div>
    <w:div w:id="322710000">
      <w:bodyDiv w:val="1"/>
      <w:marLeft w:val="0"/>
      <w:marRight w:val="0"/>
      <w:marTop w:val="0"/>
      <w:marBottom w:val="0"/>
      <w:divBdr>
        <w:top w:val="none" w:sz="0" w:space="0" w:color="auto"/>
        <w:left w:val="none" w:sz="0" w:space="0" w:color="auto"/>
        <w:bottom w:val="none" w:sz="0" w:space="0" w:color="auto"/>
        <w:right w:val="none" w:sz="0" w:space="0" w:color="auto"/>
      </w:divBdr>
      <w:divsChild>
        <w:div w:id="501891039">
          <w:marLeft w:val="446"/>
          <w:marRight w:val="0"/>
          <w:marTop w:val="0"/>
          <w:marBottom w:val="0"/>
          <w:divBdr>
            <w:top w:val="none" w:sz="0" w:space="0" w:color="auto"/>
            <w:left w:val="none" w:sz="0" w:space="0" w:color="auto"/>
            <w:bottom w:val="none" w:sz="0" w:space="0" w:color="auto"/>
            <w:right w:val="none" w:sz="0" w:space="0" w:color="auto"/>
          </w:divBdr>
        </w:div>
        <w:div w:id="1290553224">
          <w:marLeft w:val="446"/>
          <w:marRight w:val="0"/>
          <w:marTop w:val="0"/>
          <w:marBottom w:val="0"/>
          <w:divBdr>
            <w:top w:val="none" w:sz="0" w:space="0" w:color="auto"/>
            <w:left w:val="none" w:sz="0" w:space="0" w:color="auto"/>
            <w:bottom w:val="none" w:sz="0" w:space="0" w:color="auto"/>
            <w:right w:val="none" w:sz="0" w:space="0" w:color="auto"/>
          </w:divBdr>
        </w:div>
        <w:div w:id="1981612256">
          <w:marLeft w:val="446"/>
          <w:marRight w:val="0"/>
          <w:marTop w:val="0"/>
          <w:marBottom w:val="0"/>
          <w:divBdr>
            <w:top w:val="none" w:sz="0" w:space="0" w:color="auto"/>
            <w:left w:val="none" w:sz="0" w:space="0" w:color="auto"/>
            <w:bottom w:val="none" w:sz="0" w:space="0" w:color="auto"/>
            <w:right w:val="none" w:sz="0" w:space="0" w:color="auto"/>
          </w:divBdr>
        </w:div>
      </w:divsChild>
    </w:div>
    <w:div w:id="323433308">
      <w:bodyDiv w:val="1"/>
      <w:marLeft w:val="0"/>
      <w:marRight w:val="0"/>
      <w:marTop w:val="0"/>
      <w:marBottom w:val="0"/>
      <w:divBdr>
        <w:top w:val="none" w:sz="0" w:space="0" w:color="auto"/>
        <w:left w:val="none" w:sz="0" w:space="0" w:color="auto"/>
        <w:bottom w:val="none" w:sz="0" w:space="0" w:color="auto"/>
        <w:right w:val="none" w:sz="0" w:space="0" w:color="auto"/>
      </w:divBdr>
    </w:div>
    <w:div w:id="344751158">
      <w:bodyDiv w:val="1"/>
      <w:marLeft w:val="0"/>
      <w:marRight w:val="0"/>
      <w:marTop w:val="0"/>
      <w:marBottom w:val="0"/>
      <w:divBdr>
        <w:top w:val="none" w:sz="0" w:space="0" w:color="auto"/>
        <w:left w:val="none" w:sz="0" w:space="0" w:color="auto"/>
        <w:bottom w:val="none" w:sz="0" w:space="0" w:color="auto"/>
        <w:right w:val="none" w:sz="0" w:space="0" w:color="auto"/>
      </w:divBdr>
      <w:divsChild>
        <w:div w:id="651101044">
          <w:marLeft w:val="0"/>
          <w:marRight w:val="0"/>
          <w:marTop w:val="0"/>
          <w:marBottom w:val="225"/>
          <w:divBdr>
            <w:top w:val="none" w:sz="0" w:space="0" w:color="auto"/>
            <w:left w:val="none" w:sz="0" w:space="0" w:color="auto"/>
            <w:bottom w:val="none" w:sz="0" w:space="0" w:color="auto"/>
            <w:right w:val="none" w:sz="0" w:space="0" w:color="auto"/>
          </w:divBdr>
        </w:div>
      </w:divsChild>
    </w:div>
    <w:div w:id="380401739">
      <w:bodyDiv w:val="1"/>
      <w:marLeft w:val="0"/>
      <w:marRight w:val="0"/>
      <w:marTop w:val="0"/>
      <w:marBottom w:val="0"/>
      <w:divBdr>
        <w:top w:val="none" w:sz="0" w:space="0" w:color="auto"/>
        <w:left w:val="none" w:sz="0" w:space="0" w:color="auto"/>
        <w:bottom w:val="none" w:sz="0" w:space="0" w:color="auto"/>
        <w:right w:val="none" w:sz="0" w:space="0" w:color="auto"/>
      </w:divBdr>
    </w:div>
    <w:div w:id="393939058">
      <w:bodyDiv w:val="1"/>
      <w:marLeft w:val="0"/>
      <w:marRight w:val="0"/>
      <w:marTop w:val="0"/>
      <w:marBottom w:val="0"/>
      <w:divBdr>
        <w:top w:val="none" w:sz="0" w:space="0" w:color="auto"/>
        <w:left w:val="none" w:sz="0" w:space="0" w:color="auto"/>
        <w:bottom w:val="none" w:sz="0" w:space="0" w:color="auto"/>
        <w:right w:val="none" w:sz="0" w:space="0" w:color="auto"/>
      </w:divBdr>
    </w:div>
    <w:div w:id="430856490">
      <w:bodyDiv w:val="1"/>
      <w:marLeft w:val="0"/>
      <w:marRight w:val="0"/>
      <w:marTop w:val="0"/>
      <w:marBottom w:val="0"/>
      <w:divBdr>
        <w:top w:val="none" w:sz="0" w:space="0" w:color="auto"/>
        <w:left w:val="none" w:sz="0" w:space="0" w:color="auto"/>
        <w:bottom w:val="none" w:sz="0" w:space="0" w:color="auto"/>
        <w:right w:val="none" w:sz="0" w:space="0" w:color="auto"/>
      </w:divBdr>
      <w:divsChild>
        <w:div w:id="944309386">
          <w:marLeft w:val="446"/>
          <w:marRight w:val="0"/>
          <w:marTop w:val="0"/>
          <w:marBottom w:val="0"/>
          <w:divBdr>
            <w:top w:val="none" w:sz="0" w:space="0" w:color="auto"/>
            <w:left w:val="none" w:sz="0" w:space="0" w:color="auto"/>
            <w:bottom w:val="none" w:sz="0" w:space="0" w:color="auto"/>
            <w:right w:val="none" w:sz="0" w:space="0" w:color="auto"/>
          </w:divBdr>
        </w:div>
        <w:div w:id="128256116">
          <w:marLeft w:val="446"/>
          <w:marRight w:val="0"/>
          <w:marTop w:val="0"/>
          <w:marBottom w:val="0"/>
          <w:divBdr>
            <w:top w:val="none" w:sz="0" w:space="0" w:color="auto"/>
            <w:left w:val="none" w:sz="0" w:space="0" w:color="auto"/>
            <w:bottom w:val="none" w:sz="0" w:space="0" w:color="auto"/>
            <w:right w:val="none" w:sz="0" w:space="0" w:color="auto"/>
          </w:divBdr>
        </w:div>
        <w:div w:id="402416393">
          <w:marLeft w:val="1166"/>
          <w:marRight w:val="0"/>
          <w:marTop w:val="0"/>
          <w:marBottom w:val="0"/>
          <w:divBdr>
            <w:top w:val="none" w:sz="0" w:space="0" w:color="auto"/>
            <w:left w:val="none" w:sz="0" w:space="0" w:color="auto"/>
            <w:bottom w:val="none" w:sz="0" w:space="0" w:color="auto"/>
            <w:right w:val="none" w:sz="0" w:space="0" w:color="auto"/>
          </w:divBdr>
        </w:div>
        <w:div w:id="1464732390">
          <w:marLeft w:val="1166"/>
          <w:marRight w:val="0"/>
          <w:marTop w:val="0"/>
          <w:marBottom w:val="0"/>
          <w:divBdr>
            <w:top w:val="none" w:sz="0" w:space="0" w:color="auto"/>
            <w:left w:val="none" w:sz="0" w:space="0" w:color="auto"/>
            <w:bottom w:val="none" w:sz="0" w:space="0" w:color="auto"/>
            <w:right w:val="none" w:sz="0" w:space="0" w:color="auto"/>
          </w:divBdr>
        </w:div>
      </w:divsChild>
    </w:div>
    <w:div w:id="469903869">
      <w:bodyDiv w:val="1"/>
      <w:marLeft w:val="0"/>
      <w:marRight w:val="0"/>
      <w:marTop w:val="0"/>
      <w:marBottom w:val="0"/>
      <w:divBdr>
        <w:top w:val="none" w:sz="0" w:space="0" w:color="auto"/>
        <w:left w:val="none" w:sz="0" w:space="0" w:color="auto"/>
        <w:bottom w:val="none" w:sz="0" w:space="0" w:color="auto"/>
        <w:right w:val="none" w:sz="0" w:space="0" w:color="auto"/>
      </w:divBdr>
    </w:div>
    <w:div w:id="594439029">
      <w:bodyDiv w:val="1"/>
      <w:marLeft w:val="0"/>
      <w:marRight w:val="0"/>
      <w:marTop w:val="0"/>
      <w:marBottom w:val="0"/>
      <w:divBdr>
        <w:top w:val="none" w:sz="0" w:space="0" w:color="auto"/>
        <w:left w:val="none" w:sz="0" w:space="0" w:color="auto"/>
        <w:bottom w:val="none" w:sz="0" w:space="0" w:color="auto"/>
        <w:right w:val="none" w:sz="0" w:space="0" w:color="auto"/>
      </w:divBdr>
    </w:div>
    <w:div w:id="623732686">
      <w:bodyDiv w:val="1"/>
      <w:marLeft w:val="0"/>
      <w:marRight w:val="0"/>
      <w:marTop w:val="0"/>
      <w:marBottom w:val="0"/>
      <w:divBdr>
        <w:top w:val="none" w:sz="0" w:space="0" w:color="auto"/>
        <w:left w:val="none" w:sz="0" w:space="0" w:color="auto"/>
        <w:bottom w:val="none" w:sz="0" w:space="0" w:color="auto"/>
        <w:right w:val="none" w:sz="0" w:space="0" w:color="auto"/>
      </w:divBdr>
    </w:div>
    <w:div w:id="624774958">
      <w:bodyDiv w:val="1"/>
      <w:marLeft w:val="0"/>
      <w:marRight w:val="0"/>
      <w:marTop w:val="0"/>
      <w:marBottom w:val="0"/>
      <w:divBdr>
        <w:top w:val="none" w:sz="0" w:space="0" w:color="auto"/>
        <w:left w:val="none" w:sz="0" w:space="0" w:color="auto"/>
        <w:bottom w:val="none" w:sz="0" w:space="0" w:color="auto"/>
        <w:right w:val="none" w:sz="0" w:space="0" w:color="auto"/>
      </w:divBdr>
    </w:div>
    <w:div w:id="628127979">
      <w:bodyDiv w:val="1"/>
      <w:marLeft w:val="0"/>
      <w:marRight w:val="0"/>
      <w:marTop w:val="0"/>
      <w:marBottom w:val="0"/>
      <w:divBdr>
        <w:top w:val="none" w:sz="0" w:space="0" w:color="auto"/>
        <w:left w:val="none" w:sz="0" w:space="0" w:color="auto"/>
        <w:bottom w:val="none" w:sz="0" w:space="0" w:color="auto"/>
        <w:right w:val="none" w:sz="0" w:space="0" w:color="auto"/>
      </w:divBdr>
    </w:div>
    <w:div w:id="675159509">
      <w:bodyDiv w:val="1"/>
      <w:marLeft w:val="0"/>
      <w:marRight w:val="0"/>
      <w:marTop w:val="0"/>
      <w:marBottom w:val="0"/>
      <w:divBdr>
        <w:top w:val="none" w:sz="0" w:space="0" w:color="auto"/>
        <w:left w:val="none" w:sz="0" w:space="0" w:color="auto"/>
        <w:bottom w:val="none" w:sz="0" w:space="0" w:color="auto"/>
        <w:right w:val="none" w:sz="0" w:space="0" w:color="auto"/>
      </w:divBdr>
    </w:div>
    <w:div w:id="737946388">
      <w:bodyDiv w:val="1"/>
      <w:marLeft w:val="0"/>
      <w:marRight w:val="0"/>
      <w:marTop w:val="0"/>
      <w:marBottom w:val="0"/>
      <w:divBdr>
        <w:top w:val="none" w:sz="0" w:space="0" w:color="auto"/>
        <w:left w:val="none" w:sz="0" w:space="0" w:color="auto"/>
        <w:bottom w:val="none" w:sz="0" w:space="0" w:color="auto"/>
        <w:right w:val="none" w:sz="0" w:space="0" w:color="auto"/>
      </w:divBdr>
    </w:div>
    <w:div w:id="745955074">
      <w:bodyDiv w:val="1"/>
      <w:marLeft w:val="0"/>
      <w:marRight w:val="0"/>
      <w:marTop w:val="0"/>
      <w:marBottom w:val="0"/>
      <w:divBdr>
        <w:top w:val="none" w:sz="0" w:space="0" w:color="auto"/>
        <w:left w:val="none" w:sz="0" w:space="0" w:color="auto"/>
        <w:bottom w:val="none" w:sz="0" w:space="0" w:color="auto"/>
        <w:right w:val="none" w:sz="0" w:space="0" w:color="auto"/>
      </w:divBdr>
    </w:div>
    <w:div w:id="836848486">
      <w:bodyDiv w:val="1"/>
      <w:marLeft w:val="0"/>
      <w:marRight w:val="0"/>
      <w:marTop w:val="0"/>
      <w:marBottom w:val="0"/>
      <w:divBdr>
        <w:top w:val="none" w:sz="0" w:space="0" w:color="auto"/>
        <w:left w:val="none" w:sz="0" w:space="0" w:color="auto"/>
        <w:bottom w:val="none" w:sz="0" w:space="0" w:color="auto"/>
        <w:right w:val="none" w:sz="0" w:space="0" w:color="auto"/>
      </w:divBdr>
    </w:div>
    <w:div w:id="851139837">
      <w:bodyDiv w:val="1"/>
      <w:marLeft w:val="0"/>
      <w:marRight w:val="0"/>
      <w:marTop w:val="0"/>
      <w:marBottom w:val="0"/>
      <w:divBdr>
        <w:top w:val="none" w:sz="0" w:space="0" w:color="auto"/>
        <w:left w:val="none" w:sz="0" w:space="0" w:color="auto"/>
        <w:bottom w:val="none" w:sz="0" w:space="0" w:color="auto"/>
        <w:right w:val="none" w:sz="0" w:space="0" w:color="auto"/>
      </w:divBdr>
    </w:div>
    <w:div w:id="886331159">
      <w:bodyDiv w:val="1"/>
      <w:marLeft w:val="0"/>
      <w:marRight w:val="0"/>
      <w:marTop w:val="0"/>
      <w:marBottom w:val="0"/>
      <w:divBdr>
        <w:top w:val="none" w:sz="0" w:space="0" w:color="auto"/>
        <w:left w:val="none" w:sz="0" w:space="0" w:color="auto"/>
        <w:bottom w:val="none" w:sz="0" w:space="0" w:color="auto"/>
        <w:right w:val="none" w:sz="0" w:space="0" w:color="auto"/>
      </w:divBdr>
    </w:div>
    <w:div w:id="916744240">
      <w:bodyDiv w:val="1"/>
      <w:marLeft w:val="0"/>
      <w:marRight w:val="0"/>
      <w:marTop w:val="0"/>
      <w:marBottom w:val="0"/>
      <w:divBdr>
        <w:top w:val="none" w:sz="0" w:space="0" w:color="auto"/>
        <w:left w:val="none" w:sz="0" w:space="0" w:color="auto"/>
        <w:bottom w:val="none" w:sz="0" w:space="0" w:color="auto"/>
        <w:right w:val="none" w:sz="0" w:space="0" w:color="auto"/>
      </w:divBdr>
    </w:div>
    <w:div w:id="936864150">
      <w:bodyDiv w:val="1"/>
      <w:marLeft w:val="0"/>
      <w:marRight w:val="0"/>
      <w:marTop w:val="0"/>
      <w:marBottom w:val="0"/>
      <w:divBdr>
        <w:top w:val="none" w:sz="0" w:space="0" w:color="auto"/>
        <w:left w:val="none" w:sz="0" w:space="0" w:color="auto"/>
        <w:bottom w:val="none" w:sz="0" w:space="0" w:color="auto"/>
        <w:right w:val="none" w:sz="0" w:space="0" w:color="auto"/>
      </w:divBdr>
    </w:div>
    <w:div w:id="1019743034">
      <w:bodyDiv w:val="1"/>
      <w:marLeft w:val="0"/>
      <w:marRight w:val="0"/>
      <w:marTop w:val="0"/>
      <w:marBottom w:val="0"/>
      <w:divBdr>
        <w:top w:val="none" w:sz="0" w:space="0" w:color="auto"/>
        <w:left w:val="none" w:sz="0" w:space="0" w:color="auto"/>
        <w:bottom w:val="none" w:sz="0" w:space="0" w:color="auto"/>
        <w:right w:val="none" w:sz="0" w:space="0" w:color="auto"/>
      </w:divBdr>
    </w:div>
    <w:div w:id="1021275020">
      <w:bodyDiv w:val="1"/>
      <w:marLeft w:val="0"/>
      <w:marRight w:val="0"/>
      <w:marTop w:val="0"/>
      <w:marBottom w:val="0"/>
      <w:divBdr>
        <w:top w:val="none" w:sz="0" w:space="0" w:color="auto"/>
        <w:left w:val="none" w:sz="0" w:space="0" w:color="auto"/>
        <w:bottom w:val="none" w:sz="0" w:space="0" w:color="auto"/>
        <w:right w:val="none" w:sz="0" w:space="0" w:color="auto"/>
      </w:divBdr>
    </w:div>
    <w:div w:id="1027566439">
      <w:bodyDiv w:val="1"/>
      <w:marLeft w:val="0"/>
      <w:marRight w:val="0"/>
      <w:marTop w:val="0"/>
      <w:marBottom w:val="0"/>
      <w:divBdr>
        <w:top w:val="none" w:sz="0" w:space="0" w:color="auto"/>
        <w:left w:val="none" w:sz="0" w:space="0" w:color="auto"/>
        <w:bottom w:val="none" w:sz="0" w:space="0" w:color="auto"/>
        <w:right w:val="none" w:sz="0" w:space="0" w:color="auto"/>
      </w:divBdr>
    </w:div>
    <w:div w:id="1028719795">
      <w:bodyDiv w:val="1"/>
      <w:marLeft w:val="0"/>
      <w:marRight w:val="0"/>
      <w:marTop w:val="0"/>
      <w:marBottom w:val="0"/>
      <w:divBdr>
        <w:top w:val="none" w:sz="0" w:space="0" w:color="auto"/>
        <w:left w:val="none" w:sz="0" w:space="0" w:color="auto"/>
        <w:bottom w:val="none" w:sz="0" w:space="0" w:color="auto"/>
        <w:right w:val="none" w:sz="0" w:space="0" w:color="auto"/>
      </w:divBdr>
    </w:div>
    <w:div w:id="1099443956">
      <w:bodyDiv w:val="1"/>
      <w:marLeft w:val="0"/>
      <w:marRight w:val="0"/>
      <w:marTop w:val="0"/>
      <w:marBottom w:val="0"/>
      <w:divBdr>
        <w:top w:val="none" w:sz="0" w:space="0" w:color="auto"/>
        <w:left w:val="none" w:sz="0" w:space="0" w:color="auto"/>
        <w:bottom w:val="none" w:sz="0" w:space="0" w:color="auto"/>
        <w:right w:val="none" w:sz="0" w:space="0" w:color="auto"/>
      </w:divBdr>
      <w:divsChild>
        <w:div w:id="1351756021">
          <w:marLeft w:val="446"/>
          <w:marRight w:val="0"/>
          <w:marTop w:val="0"/>
          <w:marBottom w:val="0"/>
          <w:divBdr>
            <w:top w:val="none" w:sz="0" w:space="0" w:color="auto"/>
            <w:left w:val="none" w:sz="0" w:space="0" w:color="auto"/>
            <w:bottom w:val="none" w:sz="0" w:space="0" w:color="auto"/>
            <w:right w:val="none" w:sz="0" w:space="0" w:color="auto"/>
          </w:divBdr>
        </w:div>
        <w:div w:id="268466356">
          <w:marLeft w:val="446"/>
          <w:marRight w:val="0"/>
          <w:marTop w:val="0"/>
          <w:marBottom w:val="0"/>
          <w:divBdr>
            <w:top w:val="none" w:sz="0" w:space="0" w:color="auto"/>
            <w:left w:val="none" w:sz="0" w:space="0" w:color="auto"/>
            <w:bottom w:val="none" w:sz="0" w:space="0" w:color="auto"/>
            <w:right w:val="none" w:sz="0" w:space="0" w:color="auto"/>
          </w:divBdr>
        </w:div>
      </w:divsChild>
    </w:div>
    <w:div w:id="1111244957">
      <w:bodyDiv w:val="1"/>
      <w:marLeft w:val="0"/>
      <w:marRight w:val="0"/>
      <w:marTop w:val="0"/>
      <w:marBottom w:val="0"/>
      <w:divBdr>
        <w:top w:val="none" w:sz="0" w:space="0" w:color="auto"/>
        <w:left w:val="none" w:sz="0" w:space="0" w:color="auto"/>
        <w:bottom w:val="none" w:sz="0" w:space="0" w:color="auto"/>
        <w:right w:val="none" w:sz="0" w:space="0" w:color="auto"/>
      </w:divBdr>
    </w:div>
    <w:div w:id="1182205324">
      <w:bodyDiv w:val="1"/>
      <w:marLeft w:val="0"/>
      <w:marRight w:val="0"/>
      <w:marTop w:val="0"/>
      <w:marBottom w:val="0"/>
      <w:divBdr>
        <w:top w:val="none" w:sz="0" w:space="0" w:color="auto"/>
        <w:left w:val="none" w:sz="0" w:space="0" w:color="auto"/>
        <w:bottom w:val="none" w:sz="0" w:space="0" w:color="auto"/>
        <w:right w:val="none" w:sz="0" w:space="0" w:color="auto"/>
      </w:divBdr>
    </w:div>
    <w:div w:id="1312903293">
      <w:bodyDiv w:val="1"/>
      <w:marLeft w:val="0"/>
      <w:marRight w:val="0"/>
      <w:marTop w:val="0"/>
      <w:marBottom w:val="0"/>
      <w:divBdr>
        <w:top w:val="none" w:sz="0" w:space="0" w:color="auto"/>
        <w:left w:val="none" w:sz="0" w:space="0" w:color="auto"/>
        <w:bottom w:val="none" w:sz="0" w:space="0" w:color="auto"/>
        <w:right w:val="none" w:sz="0" w:space="0" w:color="auto"/>
      </w:divBdr>
    </w:div>
    <w:div w:id="1329793642">
      <w:bodyDiv w:val="1"/>
      <w:marLeft w:val="0"/>
      <w:marRight w:val="0"/>
      <w:marTop w:val="0"/>
      <w:marBottom w:val="0"/>
      <w:divBdr>
        <w:top w:val="none" w:sz="0" w:space="0" w:color="auto"/>
        <w:left w:val="none" w:sz="0" w:space="0" w:color="auto"/>
        <w:bottom w:val="none" w:sz="0" w:space="0" w:color="auto"/>
        <w:right w:val="none" w:sz="0" w:space="0" w:color="auto"/>
      </w:divBdr>
    </w:div>
    <w:div w:id="1343509159">
      <w:bodyDiv w:val="1"/>
      <w:marLeft w:val="0"/>
      <w:marRight w:val="0"/>
      <w:marTop w:val="0"/>
      <w:marBottom w:val="0"/>
      <w:divBdr>
        <w:top w:val="none" w:sz="0" w:space="0" w:color="auto"/>
        <w:left w:val="none" w:sz="0" w:space="0" w:color="auto"/>
        <w:bottom w:val="none" w:sz="0" w:space="0" w:color="auto"/>
        <w:right w:val="none" w:sz="0" w:space="0" w:color="auto"/>
      </w:divBdr>
    </w:div>
    <w:div w:id="1382441535">
      <w:bodyDiv w:val="1"/>
      <w:marLeft w:val="0"/>
      <w:marRight w:val="0"/>
      <w:marTop w:val="0"/>
      <w:marBottom w:val="0"/>
      <w:divBdr>
        <w:top w:val="none" w:sz="0" w:space="0" w:color="auto"/>
        <w:left w:val="none" w:sz="0" w:space="0" w:color="auto"/>
        <w:bottom w:val="none" w:sz="0" w:space="0" w:color="auto"/>
        <w:right w:val="none" w:sz="0" w:space="0" w:color="auto"/>
      </w:divBdr>
    </w:div>
    <w:div w:id="1413311027">
      <w:bodyDiv w:val="1"/>
      <w:marLeft w:val="0"/>
      <w:marRight w:val="0"/>
      <w:marTop w:val="0"/>
      <w:marBottom w:val="0"/>
      <w:divBdr>
        <w:top w:val="none" w:sz="0" w:space="0" w:color="auto"/>
        <w:left w:val="none" w:sz="0" w:space="0" w:color="auto"/>
        <w:bottom w:val="none" w:sz="0" w:space="0" w:color="auto"/>
        <w:right w:val="none" w:sz="0" w:space="0" w:color="auto"/>
      </w:divBdr>
    </w:div>
    <w:div w:id="1416394723">
      <w:bodyDiv w:val="1"/>
      <w:marLeft w:val="0"/>
      <w:marRight w:val="0"/>
      <w:marTop w:val="0"/>
      <w:marBottom w:val="0"/>
      <w:divBdr>
        <w:top w:val="none" w:sz="0" w:space="0" w:color="auto"/>
        <w:left w:val="none" w:sz="0" w:space="0" w:color="auto"/>
        <w:bottom w:val="none" w:sz="0" w:space="0" w:color="auto"/>
        <w:right w:val="none" w:sz="0" w:space="0" w:color="auto"/>
      </w:divBdr>
    </w:div>
    <w:div w:id="1433236037">
      <w:bodyDiv w:val="1"/>
      <w:marLeft w:val="0"/>
      <w:marRight w:val="0"/>
      <w:marTop w:val="0"/>
      <w:marBottom w:val="0"/>
      <w:divBdr>
        <w:top w:val="none" w:sz="0" w:space="0" w:color="auto"/>
        <w:left w:val="none" w:sz="0" w:space="0" w:color="auto"/>
        <w:bottom w:val="none" w:sz="0" w:space="0" w:color="auto"/>
        <w:right w:val="none" w:sz="0" w:space="0" w:color="auto"/>
      </w:divBdr>
    </w:div>
    <w:div w:id="1547640412">
      <w:bodyDiv w:val="1"/>
      <w:marLeft w:val="0"/>
      <w:marRight w:val="0"/>
      <w:marTop w:val="0"/>
      <w:marBottom w:val="0"/>
      <w:divBdr>
        <w:top w:val="none" w:sz="0" w:space="0" w:color="auto"/>
        <w:left w:val="none" w:sz="0" w:space="0" w:color="auto"/>
        <w:bottom w:val="none" w:sz="0" w:space="0" w:color="auto"/>
        <w:right w:val="none" w:sz="0" w:space="0" w:color="auto"/>
      </w:divBdr>
    </w:div>
    <w:div w:id="1570264910">
      <w:bodyDiv w:val="1"/>
      <w:marLeft w:val="0"/>
      <w:marRight w:val="0"/>
      <w:marTop w:val="0"/>
      <w:marBottom w:val="0"/>
      <w:divBdr>
        <w:top w:val="none" w:sz="0" w:space="0" w:color="auto"/>
        <w:left w:val="none" w:sz="0" w:space="0" w:color="auto"/>
        <w:bottom w:val="none" w:sz="0" w:space="0" w:color="auto"/>
        <w:right w:val="none" w:sz="0" w:space="0" w:color="auto"/>
      </w:divBdr>
    </w:div>
    <w:div w:id="1672952504">
      <w:bodyDiv w:val="1"/>
      <w:marLeft w:val="0"/>
      <w:marRight w:val="0"/>
      <w:marTop w:val="0"/>
      <w:marBottom w:val="0"/>
      <w:divBdr>
        <w:top w:val="none" w:sz="0" w:space="0" w:color="auto"/>
        <w:left w:val="none" w:sz="0" w:space="0" w:color="auto"/>
        <w:bottom w:val="none" w:sz="0" w:space="0" w:color="auto"/>
        <w:right w:val="none" w:sz="0" w:space="0" w:color="auto"/>
      </w:divBdr>
      <w:divsChild>
        <w:div w:id="1766341142">
          <w:marLeft w:val="360"/>
          <w:marRight w:val="0"/>
          <w:marTop w:val="0"/>
          <w:marBottom w:val="0"/>
          <w:divBdr>
            <w:top w:val="none" w:sz="0" w:space="0" w:color="auto"/>
            <w:left w:val="none" w:sz="0" w:space="0" w:color="auto"/>
            <w:bottom w:val="none" w:sz="0" w:space="0" w:color="auto"/>
            <w:right w:val="none" w:sz="0" w:space="0" w:color="auto"/>
          </w:divBdr>
        </w:div>
      </w:divsChild>
    </w:div>
    <w:div w:id="1701197244">
      <w:bodyDiv w:val="1"/>
      <w:marLeft w:val="0"/>
      <w:marRight w:val="0"/>
      <w:marTop w:val="0"/>
      <w:marBottom w:val="0"/>
      <w:divBdr>
        <w:top w:val="none" w:sz="0" w:space="0" w:color="auto"/>
        <w:left w:val="none" w:sz="0" w:space="0" w:color="auto"/>
        <w:bottom w:val="none" w:sz="0" w:space="0" w:color="auto"/>
        <w:right w:val="none" w:sz="0" w:space="0" w:color="auto"/>
      </w:divBdr>
    </w:div>
    <w:div w:id="1712343144">
      <w:bodyDiv w:val="1"/>
      <w:marLeft w:val="0"/>
      <w:marRight w:val="0"/>
      <w:marTop w:val="0"/>
      <w:marBottom w:val="0"/>
      <w:divBdr>
        <w:top w:val="none" w:sz="0" w:space="0" w:color="auto"/>
        <w:left w:val="none" w:sz="0" w:space="0" w:color="auto"/>
        <w:bottom w:val="none" w:sz="0" w:space="0" w:color="auto"/>
        <w:right w:val="none" w:sz="0" w:space="0" w:color="auto"/>
      </w:divBdr>
    </w:div>
    <w:div w:id="1752383830">
      <w:bodyDiv w:val="1"/>
      <w:marLeft w:val="0"/>
      <w:marRight w:val="0"/>
      <w:marTop w:val="0"/>
      <w:marBottom w:val="0"/>
      <w:divBdr>
        <w:top w:val="none" w:sz="0" w:space="0" w:color="auto"/>
        <w:left w:val="none" w:sz="0" w:space="0" w:color="auto"/>
        <w:bottom w:val="none" w:sz="0" w:space="0" w:color="auto"/>
        <w:right w:val="none" w:sz="0" w:space="0" w:color="auto"/>
      </w:divBdr>
    </w:div>
    <w:div w:id="1753887298">
      <w:bodyDiv w:val="1"/>
      <w:marLeft w:val="0"/>
      <w:marRight w:val="0"/>
      <w:marTop w:val="0"/>
      <w:marBottom w:val="0"/>
      <w:divBdr>
        <w:top w:val="none" w:sz="0" w:space="0" w:color="auto"/>
        <w:left w:val="none" w:sz="0" w:space="0" w:color="auto"/>
        <w:bottom w:val="none" w:sz="0" w:space="0" w:color="auto"/>
        <w:right w:val="none" w:sz="0" w:space="0" w:color="auto"/>
      </w:divBdr>
    </w:div>
    <w:div w:id="1767143420">
      <w:bodyDiv w:val="1"/>
      <w:marLeft w:val="0"/>
      <w:marRight w:val="0"/>
      <w:marTop w:val="0"/>
      <w:marBottom w:val="0"/>
      <w:divBdr>
        <w:top w:val="none" w:sz="0" w:space="0" w:color="auto"/>
        <w:left w:val="none" w:sz="0" w:space="0" w:color="auto"/>
        <w:bottom w:val="none" w:sz="0" w:space="0" w:color="auto"/>
        <w:right w:val="none" w:sz="0" w:space="0" w:color="auto"/>
      </w:divBdr>
    </w:div>
    <w:div w:id="1808232571">
      <w:bodyDiv w:val="1"/>
      <w:marLeft w:val="0"/>
      <w:marRight w:val="0"/>
      <w:marTop w:val="0"/>
      <w:marBottom w:val="0"/>
      <w:divBdr>
        <w:top w:val="none" w:sz="0" w:space="0" w:color="auto"/>
        <w:left w:val="none" w:sz="0" w:space="0" w:color="auto"/>
        <w:bottom w:val="none" w:sz="0" w:space="0" w:color="auto"/>
        <w:right w:val="none" w:sz="0" w:space="0" w:color="auto"/>
      </w:divBdr>
      <w:divsChild>
        <w:div w:id="71857226">
          <w:marLeft w:val="446"/>
          <w:marRight w:val="0"/>
          <w:marTop w:val="0"/>
          <w:marBottom w:val="0"/>
          <w:divBdr>
            <w:top w:val="none" w:sz="0" w:space="0" w:color="auto"/>
            <w:left w:val="none" w:sz="0" w:space="0" w:color="auto"/>
            <w:bottom w:val="none" w:sz="0" w:space="0" w:color="auto"/>
            <w:right w:val="none" w:sz="0" w:space="0" w:color="auto"/>
          </w:divBdr>
        </w:div>
        <w:div w:id="1006253927">
          <w:marLeft w:val="446"/>
          <w:marRight w:val="0"/>
          <w:marTop w:val="0"/>
          <w:marBottom w:val="0"/>
          <w:divBdr>
            <w:top w:val="none" w:sz="0" w:space="0" w:color="auto"/>
            <w:left w:val="none" w:sz="0" w:space="0" w:color="auto"/>
            <w:bottom w:val="none" w:sz="0" w:space="0" w:color="auto"/>
            <w:right w:val="none" w:sz="0" w:space="0" w:color="auto"/>
          </w:divBdr>
        </w:div>
        <w:div w:id="1420248636">
          <w:marLeft w:val="446"/>
          <w:marRight w:val="0"/>
          <w:marTop w:val="0"/>
          <w:marBottom w:val="0"/>
          <w:divBdr>
            <w:top w:val="none" w:sz="0" w:space="0" w:color="auto"/>
            <w:left w:val="none" w:sz="0" w:space="0" w:color="auto"/>
            <w:bottom w:val="none" w:sz="0" w:space="0" w:color="auto"/>
            <w:right w:val="none" w:sz="0" w:space="0" w:color="auto"/>
          </w:divBdr>
        </w:div>
        <w:div w:id="1862039133">
          <w:marLeft w:val="446"/>
          <w:marRight w:val="0"/>
          <w:marTop w:val="0"/>
          <w:marBottom w:val="0"/>
          <w:divBdr>
            <w:top w:val="none" w:sz="0" w:space="0" w:color="auto"/>
            <w:left w:val="none" w:sz="0" w:space="0" w:color="auto"/>
            <w:bottom w:val="none" w:sz="0" w:space="0" w:color="auto"/>
            <w:right w:val="none" w:sz="0" w:space="0" w:color="auto"/>
          </w:divBdr>
        </w:div>
      </w:divsChild>
    </w:div>
    <w:div w:id="1919512167">
      <w:bodyDiv w:val="1"/>
      <w:marLeft w:val="0"/>
      <w:marRight w:val="0"/>
      <w:marTop w:val="0"/>
      <w:marBottom w:val="0"/>
      <w:divBdr>
        <w:top w:val="none" w:sz="0" w:space="0" w:color="auto"/>
        <w:left w:val="none" w:sz="0" w:space="0" w:color="auto"/>
        <w:bottom w:val="none" w:sz="0" w:space="0" w:color="auto"/>
        <w:right w:val="none" w:sz="0" w:space="0" w:color="auto"/>
      </w:divBdr>
    </w:div>
    <w:div w:id="1951736612">
      <w:bodyDiv w:val="1"/>
      <w:marLeft w:val="0"/>
      <w:marRight w:val="0"/>
      <w:marTop w:val="0"/>
      <w:marBottom w:val="0"/>
      <w:divBdr>
        <w:top w:val="none" w:sz="0" w:space="0" w:color="auto"/>
        <w:left w:val="none" w:sz="0" w:space="0" w:color="auto"/>
        <w:bottom w:val="none" w:sz="0" w:space="0" w:color="auto"/>
        <w:right w:val="none" w:sz="0" w:space="0" w:color="auto"/>
      </w:divBdr>
    </w:div>
    <w:div w:id="2012219426">
      <w:bodyDiv w:val="1"/>
      <w:marLeft w:val="0"/>
      <w:marRight w:val="0"/>
      <w:marTop w:val="0"/>
      <w:marBottom w:val="0"/>
      <w:divBdr>
        <w:top w:val="none" w:sz="0" w:space="0" w:color="auto"/>
        <w:left w:val="none" w:sz="0" w:space="0" w:color="auto"/>
        <w:bottom w:val="none" w:sz="0" w:space="0" w:color="auto"/>
        <w:right w:val="none" w:sz="0" w:space="0" w:color="auto"/>
      </w:divBdr>
    </w:div>
    <w:div w:id="2121408195">
      <w:bodyDiv w:val="1"/>
      <w:marLeft w:val="0"/>
      <w:marRight w:val="0"/>
      <w:marTop w:val="0"/>
      <w:marBottom w:val="0"/>
      <w:divBdr>
        <w:top w:val="none" w:sz="0" w:space="0" w:color="auto"/>
        <w:left w:val="none" w:sz="0" w:space="0" w:color="auto"/>
        <w:bottom w:val="none" w:sz="0" w:space="0" w:color="auto"/>
        <w:right w:val="none" w:sz="0" w:space="0" w:color="auto"/>
      </w:divBdr>
      <w:divsChild>
        <w:div w:id="1540894296">
          <w:marLeft w:val="446"/>
          <w:marRight w:val="0"/>
          <w:marTop w:val="0"/>
          <w:marBottom w:val="0"/>
          <w:divBdr>
            <w:top w:val="none" w:sz="0" w:space="0" w:color="auto"/>
            <w:left w:val="none" w:sz="0" w:space="0" w:color="auto"/>
            <w:bottom w:val="none" w:sz="0" w:space="0" w:color="auto"/>
            <w:right w:val="none" w:sz="0" w:space="0" w:color="auto"/>
          </w:divBdr>
        </w:div>
        <w:div w:id="1655642292">
          <w:marLeft w:val="446"/>
          <w:marRight w:val="0"/>
          <w:marTop w:val="0"/>
          <w:marBottom w:val="0"/>
          <w:divBdr>
            <w:top w:val="none" w:sz="0" w:space="0" w:color="auto"/>
            <w:left w:val="none" w:sz="0" w:space="0" w:color="auto"/>
            <w:bottom w:val="none" w:sz="0" w:space="0" w:color="auto"/>
            <w:right w:val="none" w:sz="0" w:space="0" w:color="auto"/>
          </w:divBdr>
        </w:div>
        <w:div w:id="1515536902">
          <w:marLeft w:val="446"/>
          <w:marRight w:val="0"/>
          <w:marTop w:val="0"/>
          <w:marBottom w:val="0"/>
          <w:divBdr>
            <w:top w:val="none" w:sz="0" w:space="0" w:color="auto"/>
            <w:left w:val="none" w:sz="0" w:space="0" w:color="auto"/>
            <w:bottom w:val="none" w:sz="0" w:space="0" w:color="auto"/>
            <w:right w:val="none" w:sz="0" w:space="0" w:color="auto"/>
          </w:divBdr>
        </w:div>
      </w:divsChild>
    </w:div>
    <w:div w:id="213925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cid:image001.jpg@01D8DFCA.A486B8B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www.ine.cl/estadisticas/sociales/demografia-y-vitales/proyecciones-de-poblacion" TargetMode="External"/><Relationship Id="rId1" Type="http://schemas.openxmlformats.org/officeDocument/2006/relationships/hyperlink" Target="http://epi.minsal.cl/wp-content/uploads/2022/08/Protocolo_vigilancia_viruela_del_mono_2208202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E1ECD-CC3F-46A2-BDFA-F8CA548F7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3697</Words>
  <Characters>20337</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Nicolas Rios Orellana</dc:creator>
  <cp:lastModifiedBy>Alejandro Grimau Cornejo</cp:lastModifiedBy>
  <cp:revision>2</cp:revision>
  <cp:lastPrinted>2022-10-07T19:13:00Z</cp:lastPrinted>
  <dcterms:created xsi:type="dcterms:W3CDTF">2022-10-17T14:17:00Z</dcterms:created>
  <dcterms:modified xsi:type="dcterms:W3CDTF">2022-10-17T14:17:00Z</dcterms:modified>
</cp:coreProperties>
</file>